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0C" w:rsidRPr="00794F91" w:rsidRDefault="009E1A0C" w:rsidP="009E1A0C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bCs/>
          <w:caps/>
          <w:sz w:val="28"/>
          <w:szCs w:val="28"/>
          <w:lang w:val="es-AR"/>
        </w:rPr>
      </w:pPr>
      <w:bookmarkStart w:id="0" w:name="Autores"/>
      <w:r>
        <w:rPr>
          <w:rFonts w:ascii="Arial" w:hAnsi="Arial" w:cs="Arial"/>
          <w:b/>
          <w:bCs/>
          <w:caps/>
          <w:sz w:val="28"/>
          <w:szCs w:val="28"/>
          <w:lang w:val="es-AR"/>
        </w:rPr>
        <w:t>fertilización EN</w:t>
      </w:r>
      <w:r w:rsidR="009C11C6">
        <w:rPr>
          <w:rFonts w:ascii="Arial" w:hAnsi="Arial" w:cs="Arial"/>
          <w:b/>
          <w:bCs/>
          <w:caps/>
          <w:sz w:val="28"/>
          <w:szCs w:val="28"/>
          <w:lang w:val="es-AR"/>
        </w:rPr>
        <w:t xml:space="preserve"> la</w:t>
      </w:r>
      <w:r>
        <w:rPr>
          <w:rFonts w:ascii="Arial" w:hAnsi="Arial" w:cs="Arial"/>
          <w:b/>
          <w:bCs/>
          <w:caps/>
          <w:sz w:val="28"/>
          <w:szCs w:val="28"/>
          <w:lang w:val="es-AR"/>
        </w:rPr>
        <w:t xml:space="preserve"> REGIÓN PAMPEANA</w:t>
      </w:r>
      <w:r w:rsidR="009C11C6">
        <w:rPr>
          <w:rFonts w:ascii="Arial" w:hAnsi="Arial" w:cs="Arial"/>
          <w:b/>
          <w:bCs/>
          <w:caps/>
          <w:sz w:val="28"/>
          <w:szCs w:val="28"/>
          <w:lang w:val="es-AR"/>
        </w:rPr>
        <w:t xml:space="preserve"> centro-norte:</w:t>
      </w:r>
      <w:r w:rsidR="00962A63">
        <w:rPr>
          <w:rFonts w:ascii="Arial" w:hAnsi="Arial" w:cs="Arial"/>
          <w:b/>
          <w:bCs/>
          <w:caps/>
          <w:sz w:val="28"/>
          <w:szCs w:val="28"/>
          <w:lang w:val="es-AR"/>
        </w:rPr>
        <w:t xml:space="preserve"> RESULTADOS ECON</w:t>
      </w:r>
      <w:r w:rsidR="009656F7">
        <w:rPr>
          <w:rFonts w:ascii="Arial" w:hAnsi="Arial" w:cs="Arial"/>
          <w:b/>
          <w:bCs/>
          <w:caps/>
          <w:sz w:val="28"/>
          <w:szCs w:val="28"/>
          <w:lang w:val="es-AR"/>
        </w:rPr>
        <w:t>ó</w:t>
      </w:r>
      <w:r w:rsidR="00962A63">
        <w:rPr>
          <w:rFonts w:ascii="Arial" w:hAnsi="Arial" w:cs="Arial"/>
          <w:b/>
          <w:bCs/>
          <w:caps/>
          <w:sz w:val="28"/>
          <w:szCs w:val="28"/>
          <w:lang w:val="es-AR"/>
        </w:rPr>
        <w:t>MICOS</w:t>
      </w:r>
      <w:r w:rsidR="00EB3FC4">
        <w:rPr>
          <w:rFonts w:ascii="Arial" w:hAnsi="Arial" w:cs="Arial"/>
          <w:b/>
          <w:bCs/>
          <w:caps/>
          <w:sz w:val="28"/>
          <w:szCs w:val="28"/>
          <w:lang w:val="es-AR"/>
        </w:rPr>
        <w:t xml:space="preserve"> </w:t>
      </w:r>
      <w:r w:rsidR="002D1462">
        <w:rPr>
          <w:rFonts w:ascii="Arial" w:hAnsi="Arial" w:cs="Arial"/>
          <w:b/>
          <w:bCs/>
          <w:caps/>
          <w:sz w:val="28"/>
          <w:szCs w:val="28"/>
          <w:lang w:val="es-AR"/>
        </w:rPr>
        <w:t>en el</w:t>
      </w:r>
      <w:r w:rsidR="00EB3FC4">
        <w:rPr>
          <w:rFonts w:ascii="Arial" w:hAnsi="Arial" w:cs="Arial"/>
          <w:b/>
          <w:bCs/>
          <w:caps/>
          <w:sz w:val="28"/>
          <w:szCs w:val="28"/>
          <w:lang w:val="es-AR"/>
        </w:rPr>
        <w:t xml:space="preserve"> largo plazo</w:t>
      </w:r>
    </w:p>
    <w:p w:rsidR="00277ED9" w:rsidRPr="00794F91" w:rsidRDefault="00E455AD" w:rsidP="00277ED9">
      <w:pPr>
        <w:autoSpaceDE w:val="0"/>
        <w:autoSpaceDN w:val="0"/>
        <w:adjustRightInd w:val="0"/>
        <w:spacing w:before="180" w:line="360" w:lineRule="auto"/>
        <w:outlineLvl w:val="0"/>
        <w:rPr>
          <w:rFonts w:ascii="Arial" w:hAnsi="Arial" w:cs="Arial"/>
          <w:b/>
          <w:bCs/>
          <w:sz w:val="22"/>
          <w:szCs w:val="22"/>
          <w:lang w:val="es-AR"/>
        </w:rPr>
      </w:pPr>
      <w:bookmarkStart w:id="1" w:name="_GoBack"/>
      <w:r>
        <w:rPr>
          <w:rFonts w:ascii="Arial" w:hAnsi="Arial" w:cs="Arial"/>
          <w:b/>
          <w:bCs/>
          <w:noProof/>
          <w:sz w:val="22"/>
          <w:szCs w:val="22"/>
          <w:lang w:val="es-AR"/>
        </w:rPr>
        <w:t>Correndo</w:t>
      </w:r>
      <w:r w:rsidR="00277ED9">
        <w:rPr>
          <w:rFonts w:ascii="Arial" w:hAnsi="Arial" w:cs="Arial"/>
          <w:b/>
          <w:bCs/>
          <w:noProof/>
          <w:sz w:val="22"/>
          <w:szCs w:val="22"/>
          <w:lang w:val="es-AR"/>
        </w:rPr>
        <w:t>, A.</w:t>
      </w:r>
      <w:r>
        <w:rPr>
          <w:rFonts w:ascii="Arial" w:hAnsi="Arial" w:cs="Arial"/>
          <w:b/>
          <w:bCs/>
          <w:noProof/>
          <w:sz w:val="22"/>
          <w:szCs w:val="22"/>
          <w:lang w:val="es-AR"/>
        </w:rPr>
        <w:t>A.</w:t>
      </w:r>
      <w:r w:rsidR="00277ED9" w:rsidRPr="00277ED9">
        <w:rPr>
          <w:rFonts w:ascii="Arial" w:hAnsi="Arial" w:cs="Arial"/>
          <w:b/>
          <w:bCs/>
          <w:noProof/>
          <w:sz w:val="22"/>
          <w:szCs w:val="22"/>
          <w:vertAlign w:val="superscript"/>
          <w:lang w:val="es-AR"/>
        </w:rPr>
        <w:t>1*</w:t>
      </w:r>
      <w:r w:rsidR="00794F91">
        <w:rPr>
          <w:rFonts w:ascii="Arial" w:hAnsi="Arial" w:cs="Arial"/>
          <w:b/>
          <w:bCs/>
          <w:noProof/>
          <w:sz w:val="22"/>
          <w:szCs w:val="22"/>
          <w:lang w:val="es-AR"/>
        </w:rPr>
        <w:t xml:space="preserve">; </w:t>
      </w:r>
      <w:r>
        <w:rPr>
          <w:rFonts w:ascii="Arial" w:hAnsi="Arial" w:cs="Arial"/>
          <w:b/>
          <w:bCs/>
          <w:noProof/>
          <w:sz w:val="22"/>
          <w:szCs w:val="22"/>
          <w:lang w:val="es-AR"/>
        </w:rPr>
        <w:t>Boxler</w:t>
      </w:r>
      <w:r w:rsidR="00794F91">
        <w:rPr>
          <w:rFonts w:ascii="Arial" w:hAnsi="Arial" w:cs="Arial"/>
          <w:b/>
          <w:bCs/>
          <w:noProof/>
          <w:sz w:val="22"/>
          <w:szCs w:val="22"/>
          <w:lang w:val="es-AR"/>
        </w:rPr>
        <w:t xml:space="preserve">, </w:t>
      </w:r>
      <w:r>
        <w:rPr>
          <w:rFonts w:ascii="Arial" w:hAnsi="Arial" w:cs="Arial"/>
          <w:b/>
          <w:bCs/>
          <w:noProof/>
          <w:sz w:val="22"/>
          <w:szCs w:val="22"/>
          <w:lang w:val="es-AR"/>
        </w:rPr>
        <w:t>M</w:t>
      </w:r>
      <w:r w:rsidR="00794F91">
        <w:rPr>
          <w:rFonts w:ascii="Arial" w:hAnsi="Arial" w:cs="Arial"/>
          <w:b/>
          <w:bCs/>
          <w:noProof/>
          <w:sz w:val="22"/>
          <w:szCs w:val="22"/>
          <w:lang w:val="es-AR"/>
        </w:rPr>
        <w:t>.</w:t>
      </w:r>
      <w:r>
        <w:rPr>
          <w:rFonts w:ascii="Arial" w:hAnsi="Arial" w:cs="Arial"/>
          <w:b/>
          <w:bCs/>
          <w:noProof/>
          <w:sz w:val="22"/>
          <w:szCs w:val="22"/>
          <w:vertAlign w:val="superscript"/>
          <w:lang w:val="es-AR"/>
        </w:rPr>
        <w:t>2</w:t>
      </w:r>
      <w:r w:rsidR="00962A63">
        <w:rPr>
          <w:rFonts w:ascii="Arial" w:hAnsi="Arial" w:cs="Arial"/>
          <w:b/>
          <w:bCs/>
          <w:noProof/>
          <w:sz w:val="22"/>
          <w:szCs w:val="22"/>
          <w:lang w:val="es-AR"/>
        </w:rPr>
        <w:t>; García, F.O.</w:t>
      </w:r>
      <w:r w:rsidR="00962A63">
        <w:rPr>
          <w:rFonts w:ascii="Arial" w:hAnsi="Arial" w:cs="Arial"/>
          <w:b/>
          <w:bCs/>
          <w:noProof/>
          <w:sz w:val="22"/>
          <w:szCs w:val="22"/>
          <w:vertAlign w:val="superscript"/>
          <w:lang w:val="es-AR"/>
        </w:rPr>
        <w:t>1</w:t>
      </w:r>
    </w:p>
    <w:bookmarkEnd w:id="0"/>
    <w:p w:rsidR="00277ED9" w:rsidRPr="00794F91" w:rsidRDefault="00277ED9" w:rsidP="00277ED9">
      <w:pPr>
        <w:autoSpaceDE w:val="0"/>
        <w:autoSpaceDN w:val="0"/>
        <w:adjustRightInd w:val="0"/>
        <w:spacing w:line="288" w:lineRule="auto"/>
        <w:ind w:left="142" w:hanging="142"/>
        <w:outlineLvl w:val="0"/>
        <w:rPr>
          <w:rFonts w:ascii="Arial" w:hAnsi="Arial" w:cs="Arial"/>
          <w:b/>
          <w:bCs/>
          <w:color w:val="000000"/>
          <w:sz w:val="18"/>
          <w:szCs w:val="18"/>
          <w:lang w:val="es-AR"/>
        </w:rPr>
      </w:pPr>
      <w:r w:rsidRPr="00794F91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E455AD">
        <w:rPr>
          <w:rFonts w:ascii="Arial" w:hAnsi="Arial" w:cs="Arial"/>
          <w:b/>
          <w:sz w:val="18"/>
          <w:szCs w:val="18"/>
        </w:rPr>
        <w:t>IPNI Cono Sur</w:t>
      </w:r>
      <w:r w:rsidR="00794F91" w:rsidRPr="00794F91">
        <w:rPr>
          <w:rFonts w:ascii="Arial" w:hAnsi="Arial" w:cs="Arial"/>
          <w:b/>
          <w:sz w:val="18"/>
          <w:szCs w:val="18"/>
        </w:rPr>
        <w:t xml:space="preserve">; </w:t>
      </w:r>
      <w:r w:rsidRPr="00794F91">
        <w:rPr>
          <w:rFonts w:ascii="Arial" w:hAnsi="Arial" w:cs="Arial"/>
          <w:b/>
          <w:sz w:val="18"/>
          <w:szCs w:val="18"/>
          <w:vertAlign w:val="superscript"/>
        </w:rPr>
        <w:t>2</w:t>
      </w:r>
      <w:r w:rsidR="00E455AD">
        <w:rPr>
          <w:rFonts w:ascii="Arial" w:hAnsi="Arial" w:cs="Arial"/>
          <w:b/>
          <w:sz w:val="18"/>
          <w:szCs w:val="18"/>
        </w:rPr>
        <w:t>CREA Sur de Santa Fe</w:t>
      </w:r>
      <w:r w:rsidR="00794F91" w:rsidRPr="00794F91">
        <w:rPr>
          <w:rFonts w:ascii="Arial" w:hAnsi="Arial" w:cs="Arial"/>
          <w:b/>
          <w:sz w:val="18"/>
          <w:szCs w:val="18"/>
        </w:rPr>
        <w:t xml:space="preserve"> </w:t>
      </w:r>
      <w:r w:rsidRPr="00794F91">
        <w:rPr>
          <w:rFonts w:ascii="Arial" w:hAnsi="Arial" w:cs="Arial"/>
          <w:b/>
          <w:bCs/>
          <w:i/>
          <w:color w:val="000000"/>
          <w:sz w:val="16"/>
          <w:szCs w:val="16"/>
          <w:lang w:val="es-AR"/>
        </w:rPr>
        <w:t xml:space="preserve"> </w:t>
      </w:r>
    </w:p>
    <w:p w:rsidR="00794F91" w:rsidRPr="00794F91" w:rsidRDefault="00277ED9" w:rsidP="00794F91">
      <w:pPr>
        <w:autoSpaceDE w:val="0"/>
        <w:autoSpaceDN w:val="0"/>
        <w:adjustRightInd w:val="0"/>
        <w:spacing w:line="288" w:lineRule="auto"/>
        <w:ind w:left="1644" w:hanging="1644"/>
        <w:outlineLvl w:val="0"/>
        <w:rPr>
          <w:rFonts w:ascii="Arial" w:hAnsi="Arial" w:cs="Arial"/>
          <w:b/>
          <w:sz w:val="18"/>
          <w:szCs w:val="18"/>
        </w:rPr>
      </w:pPr>
      <w:r w:rsidRPr="00794F91">
        <w:rPr>
          <w:rFonts w:ascii="Arial" w:hAnsi="Arial" w:cs="Arial"/>
          <w:b/>
          <w:bCs/>
          <w:color w:val="000000"/>
          <w:sz w:val="18"/>
          <w:szCs w:val="18"/>
          <w:lang w:val="es-AR"/>
        </w:rPr>
        <w:t xml:space="preserve">* Autor de contacto: </w:t>
      </w:r>
      <w:hyperlink r:id="rId9" w:history="1">
        <w:r w:rsidR="00E455AD" w:rsidRPr="009276B3">
          <w:rPr>
            <w:rStyle w:val="Hipervnculo"/>
            <w:rFonts w:ascii="Arial" w:hAnsi="Arial" w:cs="Arial"/>
            <w:b/>
            <w:bCs/>
            <w:sz w:val="18"/>
            <w:szCs w:val="18"/>
            <w:lang w:val="es-AR"/>
          </w:rPr>
          <w:t>acorrendo@ipni.net</w:t>
        </w:r>
      </w:hyperlink>
      <w:r w:rsidRPr="00794F91">
        <w:rPr>
          <w:rFonts w:ascii="Arial" w:hAnsi="Arial" w:cs="Arial"/>
          <w:b/>
          <w:bCs/>
          <w:color w:val="000000"/>
          <w:sz w:val="18"/>
          <w:szCs w:val="18"/>
          <w:lang w:val="es-AR"/>
        </w:rPr>
        <w:t xml:space="preserve">; </w:t>
      </w:r>
      <w:r w:rsidR="00E455AD">
        <w:rPr>
          <w:rFonts w:ascii="Arial" w:hAnsi="Arial" w:cs="Arial"/>
          <w:b/>
          <w:sz w:val="18"/>
          <w:szCs w:val="18"/>
        </w:rPr>
        <w:t>Av. Santa Fe</w:t>
      </w:r>
      <w:r w:rsidR="00794F91" w:rsidRPr="00794F91">
        <w:rPr>
          <w:rFonts w:ascii="Arial" w:hAnsi="Arial" w:cs="Arial"/>
          <w:b/>
          <w:sz w:val="18"/>
          <w:szCs w:val="18"/>
        </w:rPr>
        <w:t xml:space="preserve"> </w:t>
      </w:r>
      <w:r w:rsidR="00E455AD">
        <w:rPr>
          <w:rFonts w:ascii="Arial" w:hAnsi="Arial" w:cs="Arial"/>
          <w:b/>
          <w:sz w:val="18"/>
          <w:szCs w:val="18"/>
        </w:rPr>
        <w:t>910,</w:t>
      </w:r>
      <w:r w:rsidR="00794F91" w:rsidRPr="00794F91">
        <w:rPr>
          <w:rFonts w:ascii="Arial" w:hAnsi="Arial" w:cs="Arial"/>
          <w:b/>
          <w:sz w:val="18"/>
          <w:szCs w:val="18"/>
        </w:rPr>
        <w:t xml:space="preserve"> </w:t>
      </w:r>
      <w:r w:rsidR="00E455AD">
        <w:rPr>
          <w:rFonts w:ascii="Arial" w:hAnsi="Arial" w:cs="Arial"/>
          <w:b/>
          <w:sz w:val="18"/>
          <w:szCs w:val="18"/>
        </w:rPr>
        <w:t xml:space="preserve">Acassuso </w:t>
      </w:r>
      <w:r w:rsidR="00794F91" w:rsidRPr="00794F91">
        <w:rPr>
          <w:rFonts w:ascii="Arial" w:hAnsi="Arial" w:cs="Arial"/>
          <w:b/>
          <w:sz w:val="18"/>
          <w:szCs w:val="18"/>
        </w:rPr>
        <w:t>(BA)</w:t>
      </w:r>
      <w:r w:rsidRPr="00794F91">
        <w:rPr>
          <w:rFonts w:ascii="Arial" w:hAnsi="Arial" w:cs="Arial"/>
          <w:b/>
          <w:bCs/>
          <w:color w:val="000000"/>
          <w:sz w:val="18"/>
          <w:szCs w:val="18"/>
          <w:lang w:val="es-AR"/>
        </w:rPr>
        <w:t xml:space="preserve">; </w:t>
      </w:r>
      <w:r w:rsidR="00E455AD">
        <w:rPr>
          <w:rFonts w:ascii="Arial" w:hAnsi="Arial" w:cs="Arial"/>
          <w:b/>
          <w:bCs/>
          <w:color w:val="000000"/>
          <w:sz w:val="18"/>
          <w:szCs w:val="18"/>
          <w:lang w:val="es-AR"/>
        </w:rPr>
        <w:t>01</w:t>
      </w:r>
      <w:r w:rsidR="00794F91" w:rsidRPr="00794F91">
        <w:rPr>
          <w:rFonts w:ascii="Arial" w:hAnsi="Arial" w:cs="Arial"/>
          <w:b/>
          <w:sz w:val="18"/>
          <w:szCs w:val="18"/>
        </w:rPr>
        <w:t>1-</w:t>
      </w:r>
      <w:r w:rsidR="00E455AD">
        <w:rPr>
          <w:rFonts w:ascii="Arial" w:hAnsi="Arial" w:cs="Arial"/>
          <w:b/>
          <w:sz w:val="18"/>
          <w:szCs w:val="18"/>
        </w:rPr>
        <w:t>47989939</w:t>
      </w:r>
    </w:p>
    <w:p w:rsidR="00794F91" w:rsidRDefault="00794F91" w:rsidP="00794F91">
      <w:pPr>
        <w:autoSpaceDE w:val="0"/>
        <w:autoSpaceDN w:val="0"/>
        <w:adjustRightInd w:val="0"/>
        <w:spacing w:line="288" w:lineRule="auto"/>
        <w:ind w:left="1644" w:hanging="1644"/>
        <w:outlineLvl w:val="0"/>
        <w:rPr>
          <w:rFonts w:ascii="Arial" w:hAnsi="Arial" w:cs="Arial"/>
          <w:sz w:val="18"/>
          <w:szCs w:val="18"/>
        </w:rPr>
      </w:pPr>
    </w:p>
    <w:p w:rsidR="008D38B7" w:rsidRPr="00BE01DD" w:rsidRDefault="008D38B7" w:rsidP="008D38B7">
      <w:pPr>
        <w:jc w:val="both"/>
        <w:rPr>
          <w:rFonts w:ascii="Arial" w:hAnsi="Arial" w:cs="Arial"/>
          <w:bCs/>
        </w:rPr>
      </w:pPr>
      <w:bookmarkStart w:id="2" w:name="Resumen"/>
      <w:r w:rsidRPr="00BE01DD">
        <w:rPr>
          <w:rFonts w:ascii="Arial" w:hAnsi="Arial" w:cs="Arial"/>
          <w:b/>
          <w:bCs/>
          <w:lang w:val="es-AR"/>
        </w:rPr>
        <w:t>PALABRAS CLAVE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08"/>
        <w:gridCol w:w="3360"/>
        <w:gridCol w:w="2040"/>
      </w:tblGrid>
      <w:tr w:rsidR="008D38B7" w:rsidRPr="00E26DC2" w:rsidTr="008C6BC2">
        <w:tc>
          <w:tcPr>
            <w:tcW w:w="4308" w:type="dxa"/>
            <w:vAlign w:val="center"/>
          </w:tcPr>
          <w:bookmarkEnd w:id="2"/>
          <w:p w:rsidR="008D38B7" w:rsidRPr="00E26DC2" w:rsidRDefault="008D38B7" w:rsidP="008C6B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AR"/>
              </w:rPr>
              <w:t>Nutrición de cultivos</w:t>
            </w:r>
          </w:p>
        </w:tc>
        <w:tc>
          <w:tcPr>
            <w:tcW w:w="3360" w:type="dxa"/>
            <w:vAlign w:val="center"/>
          </w:tcPr>
          <w:p w:rsidR="008D38B7" w:rsidRPr="00E26DC2" w:rsidRDefault="008D38B7" w:rsidP="008C6B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AR"/>
              </w:rPr>
              <w:t>Rentabilidad</w:t>
            </w:r>
          </w:p>
        </w:tc>
        <w:tc>
          <w:tcPr>
            <w:tcW w:w="2040" w:type="dxa"/>
            <w:vAlign w:val="center"/>
          </w:tcPr>
          <w:p w:rsidR="008D38B7" w:rsidRPr="00E26DC2" w:rsidRDefault="008D38B7" w:rsidP="008C6B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AR"/>
              </w:rPr>
              <w:t>Inversión</w:t>
            </w:r>
          </w:p>
        </w:tc>
      </w:tr>
    </w:tbl>
    <w:p w:rsidR="004F501E" w:rsidRPr="0027482F" w:rsidRDefault="004F501E" w:rsidP="004F501E">
      <w:pPr>
        <w:autoSpaceDE w:val="0"/>
        <w:autoSpaceDN w:val="0"/>
        <w:adjustRightInd w:val="0"/>
        <w:spacing w:line="288" w:lineRule="auto"/>
        <w:ind w:left="1644" w:hanging="1644"/>
        <w:outlineLvl w:val="0"/>
        <w:rPr>
          <w:rFonts w:ascii="Arial" w:hAnsi="Arial" w:cs="Arial"/>
          <w:b/>
          <w:bCs/>
          <w:lang w:val="es-AR"/>
        </w:rPr>
      </w:pPr>
      <w:r w:rsidRPr="0027482F">
        <w:rPr>
          <w:rFonts w:ascii="Arial" w:hAnsi="Arial" w:cs="Arial"/>
          <w:b/>
          <w:bCs/>
          <w:lang w:val="es-AR"/>
        </w:rPr>
        <w:t>INTRODUCCIÓN</w:t>
      </w:r>
    </w:p>
    <w:p w:rsidR="000E7F78" w:rsidRPr="00903149" w:rsidRDefault="004C2364" w:rsidP="000E7F78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Arial" w:eastAsia="Calibri" w:hAnsi="Arial" w:cs="Arial"/>
          <w:sz w:val="22"/>
          <w:szCs w:val="22"/>
          <w:lang w:val="es-AR" w:eastAsia="es-AR"/>
        </w:rPr>
      </w:pPr>
      <w:r>
        <w:rPr>
          <w:rFonts w:ascii="Arial" w:eastAsia="Calibri" w:hAnsi="Arial" w:cs="Arial"/>
          <w:sz w:val="22"/>
          <w:szCs w:val="22"/>
          <w:lang w:val="es-AR" w:eastAsia="es-AR"/>
        </w:rPr>
        <w:t>La fertilización de los cultivos de grano ha adoptado en las</w:t>
      </w:r>
      <w:r w:rsidR="00F130C2">
        <w:rPr>
          <w:rFonts w:ascii="Arial" w:eastAsia="Calibri" w:hAnsi="Arial" w:cs="Arial"/>
          <w:sz w:val="22"/>
          <w:szCs w:val="22"/>
          <w:lang w:val="es-AR" w:eastAsia="es-AR"/>
        </w:rPr>
        <w:t xml:space="preserve"> dos</w:t>
      </w: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 últimas décadas una especial relevancia en los sistemas de producción</w:t>
      </w:r>
      <w:r w:rsidR="00F130C2">
        <w:rPr>
          <w:rFonts w:ascii="Arial" w:eastAsia="Calibri" w:hAnsi="Arial" w:cs="Arial"/>
          <w:sz w:val="22"/>
          <w:szCs w:val="22"/>
          <w:lang w:val="es-AR" w:eastAsia="es-AR"/>
        </w:rPr>
        <w:t xml:space="preserve"> de la región pampeana argentina</w:t>
      </w:r>
      <w:r w:rsidR="00E1158F">
        <w:rPr>
          <w:rFonts w:ascii="Arial" w:eastAsia="Calibri" w:hAnsi="Arial" w:cs="Arial"/>
          <w:sz w:val="22"/>
          <w:szCs w:val="22"/>
          <w:lang w:val="es-AR" w:eastAsia="es-AR"/>
        </w:rPr>
        <w:t>, donde l</w:t>
      </w:r>
      <w:r w:rsidR="000E7F78" w:rsidRPr="00903149">
        <w:rPr>
          <w:rFonts w:ascii="Arial" w:eastAsia="Calibri" w:hAnsi="Arial" w:cs="Arial"/>
          <w:sz w:val="22"/>
          <w:szCs w:val="22"/>
          <w:lang w:val="es-AR" w:eastAsia="es-AR"/>
        </w:rPr>
        <w:t xml:space="preserve">os principales cultivos son soja </w:t>
      </w:r>
      <w:r w:rsidR="000E7F78" w:rsidRPr="00923FAD">
        <w:rPr>
          <w:rFonts w:ascii="Arial" w:eastAsia="Calibri" w:hAnsi="Arial" w:cs="Arial"/>
          <w:sz w:val="22"/>
          <w:szCs w:val="22"/>
          <w:lang w:val="es-AR" w:eastAsia="es-AR"/>
        </w:rPr>
        <w:t>[</w:t>
      </w:r>
      <w:proofErr w:type="spellStart"/>
      <w:r w:rsidR="000E7F78" w:rsidRPr="00923FAD">
        <w:rPr>
          <w:rFonts w:ascii="Arial" w:eastAsia="Calibri" w:hAnsi="Arial" w:cs="Arial"/>
          <w:i/>
          <w:sz w:val="22"/>
          <w:szCs w:val="22"/>
          <w:lang w:val="es-AR" w:eastAsia="es-AR"/>
        </w:rPr>
        <w:t>Glycine</w:t>
      </w:r>
      <w:proofErr w:type="spellEnd"/>
      <w:r w:rsidR="000E7F78" w:rsidRPr="00923FAD">
        <w:rPr>
          <w:rFonts w:ascii="Arial" w:eastAsia="Calibri" w:hAnsi="Arial" w:cs="Arial"/>
          <w:i/>
          <w:sz w:val="22"/>
          <w:szCs w:val="22"/>
          <w:lang w:val="es-AR" w:eastAsia="es-AR"/>
        </w:rPr>
        <w:t xml:space="preserve"> </w:t>
      </w:r>
      <w:proofErr w:type="spellStart"/>
      <w:r w:rsidR="000E7F78" w:rsidRPr="00923FAD">
        <w:rPr>
          <w:rFonts w:ascii="Arial" w:eastAsia="Calibri" w:hAnsi="Arial" w:cs="Arial"/>
          <w:i/>
          <w:sz w:val="22"/>
          <w:szCs w:val="22"/>
          <w:lang w:val="es-AR" w:eastAsia="es-AR"/>
        </w:rPr>
        <w:t>max</w:t>
      </w:r>
      <w:proofErr w:type="spellEnd"/>
      <w:r w:rsidR="000E7F78" w:rsidRPr="00923FAD">
        <w:rPr>
          <w:rFonts w:ascii="Arial" w:eastAsia="Calibri" w:hAnsi="Arial" w:cs="Arial"/>
          <w:sz w:val="22"/>
          <w:szCs w:val="22"/>
          <w:lang w:val="es-AR" w:eastAsia="es-AR"/>
        </w:rPr>
        <w:t xml:space="preserve"> (L.) </w:t>
      </w:r>
      <w:proofErr w:type="spellStart"/>
      <w:r w:rsidR="000E7F78" w:rsidRPr="00C511A5">
        <w:rPr>
          <w:rFonts w:ascii="Arial" w:eastAsia="Calibri" w:hAnsi="Arial" w:cs="Arial"/>
          <w:sz w:val="22"/>
          <w:szCs w:val="22"/>
          <w:lang w:val="es-AR" w:eastAsia="es-AR"/>
        </w:rPr>
        <w:t>Merr</w:t>
      </w:r>
      <w:proofErr w:type="spellEnd"/>
      <w:r w:rsidR="000E7F78" w:rsidRPr="00C511A5">
        <w:rPr>
          <w:rFonts w:ascii="Arial" w:eastAsia="Calibri" w:hAnsi="Arial" w:cs="Arial"/>
          <w:sz w:val="22"/>
          <w:szCs w:val="22"/>
          <w:lang w:val="es-AR" w:eastAsia="es-AR"/>
        </w:rPr>
        <w:t>.]</w:t>
      </w:r>
      <w:r w:rsidR="000E7F78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proofErr w:type="gramStart"/>
      <w:r w:rsidR="00794200">
        <w:rPr>
          <w:rFonts w:ascii="Arial" w:eastAsia="Calibri" w:hAnsi="Arial" w:cs="Arial"/>
          <w:sz w:val="22"/>
          <w:szCs w:val="22"/>
          <w:lang w:val="es-AR" w:eastAsia="es-AR"/>
        </w:rPr>
        <w:t>y</w:t>
      </w:r>
      <w:proofErr w:type="gramEnd"/>
      <w:r w:rsidR="00794200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794200" w:rsidRPr="00903149">
        <w:rPr>
          <w:rFonts w:ascii="Arial" w:eastAsia="Calibri" w:hAnsi="Arial" w:cs="Arial"/>
          <w:sz w:val="22"/>
          <w:szCs w:val="22"/>
          <w:lang w:val="es-AR" w:eastAsia="es-AR"/>
        </w:rPr>
        <w:t xml:space="preserve">maíz </w:t>
      </w:r>
      <w:r w:rsidR="00794200" w:rsidRPr="00923FAD">
        <w:rPr>
          <w:rFonts w:ascii="Arial" w:eastAsia="Calibri" w:hAnsi="Arial" w:cs="Arial"/>
          <w:sz w:val="22"/>
          <w:szCs w:val="22"/>
          <w:lang w:val="es-AR" w:eastAsia="es-AR"/>
        </w:rPr>
        <w:t>(</w:t>
      </w:r>
      <w:r w:rsidR="00794200" w:rsidRPr="00923FAD">
        <w:rPr>
          <w:rFonts w:ascii="Arial" w:eastAsia="Calibri" w:hAnsi="Arial" w:cs="Arial"/>
          <w:i/>
          <w:sz w:val="22"/>
          <w:szCs w:val="22"/>
          <w:lang w:val="es-AR" w:eastAsia="es-AR"/>
        </w:rPr>
        <w:t xml:space="preserve">Zea </w:t>
      </w:r>
      <w:proofErr w:type="spellStart"/>
      <w:r w:rsidR="00794200" w:rsidRPr="00923FAD">
        <w:rPr>
          <w:rFonts w:ascii="Arial" w:eastAsia="Calibri" w:hAnsi="Arial" w:cs="Arial"/>
          <w:i/>
          <w:sz w:val="22"/>
          <w:szCs w:val="22"/>
          <w:lang w:val="es-AR" w:eastAsia="es-AR"/>
        </w:rPr>
        <w:t>mays</w:t>
      </w:r>
      <w:proofErr w:type="spellEnd"/>
      <w:r w:rsidR="00794200" w:rsidRPr="00923FAD">
        <w:rPr>
          <w:rFonts w:ascii="Arial" w:eastAsia="Calibri" w:hAnsi="Arial" w:cs="Arial"/>
          <w:sz w:val="22"/>
          <w:szCs w:val="22"/>
          <w:lang w:val="es-AR" w:eastAsia="es-AR"/>
        </w:rPr>
        <w:t xml:space="preserve"> L.)</w:t>
      </w:r>
      <w:r w:rsidR="00794200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0E7F78" w:rsidRPr="00903149">
        <w:rPr>
          <w:rFonts w:ascii="Arial" w:eastAsia="Calibri" w:hAnsi="Arial" w:cs="Arial"/>
          <w:sz w:val="22"/>
          <w:szCs w:val="22"/>
          <w:lang w:val="es-AR" w:eastAsia="es-AR"/>
        </w:rPr>
        <w:t>en verano</w:t>
      </w:r>
      <w:r w:rsidR="000E7F78">
        <w:rPr>
          <w:rFonts w:ascii="Arial" w:eastAsia="Calibri" w:hAnsi="Arial" w:cs="Arial"/>
          <w:sz w:val="22"/>
          <w:szCs w:val="22"/>
          <w:lang w:val="es-AR" w:eastAsia="es-AR"/>
        </w:rPr>
        <w:t>,</w:t>
      </w:r>
      <w:r w:rsidR="000E7F78" w:rsidRPr="00903149">
        <w:rPr>
          <w:rFonts w:ascii="Arial" w:eastAsia="Calibri" w:hAnsi="Arial" w:cs="Arial"/>
          <w:sz w:val="22"/>
          <w:szCs w:val="22"/>
          <w:lang w:val="es-AR" w:eastAsia="es-AR"/>
        </w:rPr>
        <w:t xml:space="preserve"> y trigo </w:t>
      </w:r>
      <w:r w:rsidR="000E7F78" w:rsidRPr="00923FAD">
        <w:rPr>
          <w:rFonts w:ascii="Arial" w:eastAsia="Calibri" w:hAnsi="Arial" w:cs="Arial"/>
          <w:sz w:val="22"/>
          <w:szCs w:val="22"/>
          <w:lang w:val="es-AR" w:eastAsia="es-AR"/>
        </w:rPr>
        <w:t>(</w:t>
      </w:r>
      <w:proofErr w:type="spellStart"/>
      <w:r w:rsidR="000E7F78" w:rsidRPr="00923FAD">
        <w:rPr>
          <w:rFonts w:ascii="Arial" w:eastAsia="Calibri" w:hAnsi="Arial" w:cs="Arial"/>
          <w:i/>
          <w:sz w:val="22"/>
          <w:szCs w:val="22"/>
          <w:lang w:val="es-AR" w:eastAsia="es-AR"/>
        </w:rPr>
        <w:t>Triticum</w:t>
      </w:r>
      <w:proofErr w:type="spellEnd"/>
      <w:r w:rsidR="000E7F78" w:rsidRPr="00923FAD">
        <w:rPr>
          <w:rFonts w:ascii="Arial" w:eastAsia="Calibri" w:hAnsi="Arial" w:cs="Arial"/>
          <w:i/>
          <w:sz w:val="22"/>
          <w:szCs w:val="22"/>
          <w:lang w:val="es-AR" w:eastAsia="es-AR"/>
        </w:rPr>
        <w:t xml:space="preserve"> </w:t>
      </w:r>
      <w:proofErr w:type="spellStart"/>
      <w:r w:rsidR="000E7F78" w:rsidRPr="00923FAD">
        <w:rPr>
          <w:rFonts w:ascii="Arial" w:eastAsia="Calibri" w:hAnsi="Arial" w:cs="Arial"/>
          <w:i/>
          <w:sz w:val="22"/>
          <w:szCs w:val="22"/>
          <w:lang w:val="es-AR" w:eastAsia="es-AR"/>
        </w:rPr>
        <w:t>aestivum</w:t>
      </w:r>
      <w:proofErr w:type="spellEnd"/>
      <w:r w:rsidR="000E7F78" w:rsidRPr="00923FAD">
        <w:rPr>
          <w:rFonts w:ascii="Arial" w:eastAsia="Calibri" w:hAnsi="Arial" w:cs="Arial"/>
          <w:sz w:val="22"/>
          <w:szCs w:val="22"/>
          <w:lang w:val="es-AR" w:eastAsia="es-AR"/>
        </w:rPr>
        <w:t xml:space="preserve"> L.) </w:t>
      </w:r>
      <w:r w:rsidR="000E7F78" w:rsidRPr="00903149">
        <w:rPr>
          <w:rFonts w:ascii="Arial" w:eastAsia="Calibri" w:hAnsi="Arial" w:cs="Arial"/>
          <w:sz w:val="22"/>
          <w:szCs w:val="22"/>
          <w:lang w:val="es-AR" w:eastAsia="es-AR"/>
        </w:rPr>
        <w:t xml:space="preserve">en invierno. </w:t>
      </w:r>
      <w:r w:rsidR="000E7F78">
        <w:rPr>
          <w:rFonts w:ascii="Arial" w:eastAsia="Calibri" w:hAnsi="Arial" w:cs="Arial"/>
          <w:sz w:val="22"/>
          <w:szCs w:val="22"/>
          <w:lang w:val="es-AR" w:eastAsia="es-AR"/>
        </w:rPr>
        <w:t>Para</w:t>
      </w:r>
      <w:r w:rsidR="00794200">
        <w:rPr>
          <w:rFonts w:ascii="Arial" w:eastAsia="Calibri" w:hAnsi="Arial" w:cs="Arial"/>
          <w:sz w:val="22"/>
          <w:szCs w:val="22"/>
          <w:lang w:val="es-AR" w:eastAsia="es-AR"/>
        </w:rPr>
        <w:t xml:space="preserve"> las gramíneas -maíz y</w:t>
      </w:r>
      <w:r w:rsidR="000E7F78" w:rsidRPr="00903149">
        <w:rPr>
          <w:rFonts w:ascii="Arial" w:eastAsia="Calibri" w:hAnsi="Arial" w:cs="Arial"/>
          <w:sz w:val="22"/>
          <w:szCs w:val="22"/>
          <w:lang w:val="es-AR" w:eastAsia="es-AR"/>
        </w:rPr>
        <w:t xml:space="preserve"> trigo</w:t>
      </w:r>
      <w:r w:rsidR="00794200">
        <w:rPr>
          <w:rFonts w:ascii="Arial" w:eastAsia="Calibri" w:hAnsi="Arial" w:cs="Arial"/>
          <w:sz w:val="22"/>
          <w:szCs w:val="22"/>
          <w:lang w:val="es-AR" w:eastAsia="es-AR"/>
        </w:rPr>
        <w:t>-</w:t>
      </w:r>
      <w:r w:rsidR="000E7F78" w:rsidRPr="00903149">
        <w:rPr>
          <w:rFonts w:ascii="Arial" w:eastAsia="Calibri" w:hAnsi="Arial" w:cs="Arial"/>
          <w:sz w:val="22"/>
          <w:szCs w:val="22"/>
          <w:lang w:val="es-AR" w:eastAsia="es-AR"/>
        </w:rPr>
        <w:t xml:space="preserve">, </w:t>
      </w:r>
      <w:r w:rsidR="000E7F78">
        <w:rPr>
          <w:rFonts w:ascii="Arial" w:eastAsia="Calibri" w:hAnsi="Arial" w:cs="Arial"/>
          <w:sz w:val="22"/>
          <w:szCs w:val="22"/>
          <w:lang w:val="es-AR" w:eastAsia="es-AR"/>
        </w:rPr>
        <w:t xml:space="preserve">las recomendaciones de fertilización </w:t>
      </w:r>
      <w:r w:rsidR="000E7F78" w:rsidRPr="00903149">
        <w:rPr>
          <w:rFonts w:ascii="Arial" w:eastAsia="Calibri" w:hAnsi="Arial" w:cs="Arial"/>
          <w:sz w:val="22"/>
          <w:szCs w:val="22"/>
          <w:lang w:val="es-AR" w:eastAsia="es-AR"/>
        </w:rPr>
        <w:t xml:space="preserve">normalmente </w:t>
      </w:r>
      <w:r w:rsidR="000E7F78">
        <w:rPr>
          <w:rFonts w:ascii="Arial" w:eastAsia="Calibri" w:hAnsi="Arial" w:cs="Arial"/>
          <w:sz w:val="22"/>
          <w:szCs w:val="22"/>
          <w:lang w:val="es-AR" w:eastAsia="es-AR"/>
        </w:rPr>
        <w:t>incluyen nitrógeno (</w:t>
      </w:r>
      <w:r w:rsidR="000E7F78" w:rsidRPr="00903149">
        <w:rPr>
          <w:rFonts w:ascii="Arial" w:eastAsia="Calibri" w:hAnsi="Arial" w:cs="Arial"/>
          <w:sz w:val="22"/>
          <w:szCs w:val="22"/>
          <w:lang w:val="es-AR" w:eastAsia="es-AR"/>
        </w:rPr>
        <w:t>N</w:t>
      </w:r>
      <w:r w:rsidR="000E7F78">
        <w:rPr>
          <w:rFonts w:ascii="Arial" w:eastAsia="Calibri" w:hAnsi="Arial" w:cs="Arial"/>
          <w:sz w:val="22"/>
          <w:szCs w:val="22"/>
          <w:lang w:val="es-AR" w:eastAsia="es-AR"/>
        </w:rPr>
        <w:t>) y</w:t>
      </w:r>
      <w:r w:rsidR="000E7F78" w:rsidRPr="00903149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0E7F78">
        <w:rPr>
          <w:rFonts w:ascii="Arial" w:eastAsia="Calibri" w:hAnsi="Arial" w:cs="Arial"/>
          <w:sz w:val="22"/>
          <w:szCs w:val="22"/>
          <w:lang w:val="es-AR" w:eastAsia="es-AR"/>
        </w:rPr>
        <w:t>fósforo (</w:t>
      </w:r>
      <w:r w:rsidR="000E7F78" w:rsidRPr="00903149">
        <w:rPr>
          <w:rFonts w:ascii="Arial" w:eastAsia="Calibri" w:hAnsi="Arial" w:cs="Arial"/>
          <w:sz w:val="22"/>
          <w:szCs w:val="22"/>
          <w:lang w:val="es-AR" w:eastAsia="es-AR"/>
        </w:rPr>
        <w:t>P</w:t>
      </w:r>
      <w:r w:rsidR="000E7F78">
        <w:rPr>
          <w:rFonts w:ascii="Arial" w:eastAsia="Calibri" w:hAnsi="Arial" w:cs="Arial"/>
          <w:sz w:val="22"/>
          <w:szCs w:val="22"/>
          <w:lang w:val="es-AR" w:eastAsia="es-AR"/>
        </w:rPr>
        <w:t>)</w:t>
      </w:r>
      <w:r w:rsidR="000E7F78" w:rsidRPr="00903149">
        <w:rPr>
          <w:rFonts w:ascii="Arial" w:eastAsia="Calibri" w:hAnsi="Arial" w:cs="Arial"/>
          <w:sz w:val="22"/>
          <w:szCs w:val="22"/>
          <w:lang w:val="es-AR" w:eastAsia="es-AR"/>
        </w:rPr>
        <w:t>, y</w:t>
      </w:r>
      <w:r w:rsidR="000E7F78">
        <w:rPr>
          <w:rFonts w:ascii="Arial" w:eastAsia="Calibri" w:hAnsi="Arial" w:cs="Arial"/>
          <w:sz w:val="22"/>
          <w:szCs w:val="22"/>
          <w:lang w:val="es-AR" w:eastAsia="es-AR"/>
        </w:rPr>
        <w:t xml:space="preserve"> más recientemente azufre</w:t>
      </w:r>
      <w:r w:rsidR="000E7F78" w:rsidRPr="00903149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0E7F78">
        <w:rPr>
          <w:rFonts w:ascii="Arial" w:eastAsia="Calibri" w:hAnsi="Arial" w:cs="Arial"/>
          <w:sz w:val="22"/>
          <w:szCs w:val="22"/>
          <w:lang w:val="es-AR" w:eastAsia="es-AR"/>
        </w:rPr>
        <w:t>(</w:t>
      </w:r>
      <w:r w:rsidR="000E7F78" w:rsidRPr="00903149">
        <w:rPr>
          <w:rFonts w:ascii="Arial" w:eastAsia="Calibri" w:hAnsi="Arial" w:cs="Arial"/>
          <w:sz w:val="22"/>
          <w:szCs w:val="22"/>
          <w:lang w:val="es-AR" w:eastAsia="es-AR"/>
        </w:rPr>
        <w:t>S</w:t>
      </w:r>
      <w:r w:rsidR="000E7F78">
        <w:rPr>
          <w:rFonts w:ascii="Arial" w:eastAsia="Calibri" w:hAnsi="Arial" w:cs="Arial"/>
          <w:sz w:val="22"/>
          <w:szCs w:val="22"/>
          <w:lang w:val="es-AR" w:eastAsia="es-AR"/>
        </w:rPr>
        <w:t>).</w:t>
      </w:r>
      <w:r w:rsidR="000E7F78" w:rsidRPr="00903149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0E7F78">
        <w:rPr>
          <w:rFonts w:ascii="Arial" w:eastAsia="Calibri" w:hAnsi="Arial" w:cs="Arial"/>
          <w:sz w:val="22"/>
          <w:szCs w:val="22"/>
          <w:lang w:val="es-AR" w:eastAsia="es-AR"/>
        </w:rPr>
        <w:t xml:space="preserve">En el caso de la soja, las recomendaciones se basan principalmente en la nutrición fosforada y </w:t>
      </w:r>
      <w:r w:rsidR="00794200">
        <w:rPr>
          <w:rFonts w:ascii="Arial" w:eastAsia="Calibri" w:hAnsi="Arial" w:cs="Arial"/>
          <w:sz w:val="22"/>
          <w:szCs w:val="22"/>
          <w:lang w:val="es-AR" w:eastAsia="es-AR"/>
        </w:rPr>
        <w:t xml:space="preserve">recientemente </w:t>
      </w:r>
      <w:r w:rsidR="000E7F78">
        <w:rPr>
          <w:rFonts w:ascii="Arial" w:eastAsia="Calibri" w:hAnsi="Arial" w:cs="Arial"/>
          <w:sz w:val="22"/>
          <w:szCs w:val="22"/>
          <w:lang w:val="es-AR" w:eastAsia="es-AR"/>
        </w:rPr>
        <w:t xml:space="preserve">azufrada, pero generalmente las dosis </w:t>
      </w:r>
      <w:r w:rsidR="00962A63">
        <w:rPr>
          <w:rFonts w:ascii="Arial" w:eastAsia="Calibri" w:hAnsi="Arial" w:cs="Arial"/>
          <w:sz w:val="22"/>
          <w:szCs w:val="22"/>
          <w:lang w:val="es-AR" w:eastAsia="es-AR"/>
        </w:rPr>
        <w:t xml:space="preserve">utilizadas </w:t>
      </w:r>
      <w:r w:rsidR="000E7F78">
        <w:rPr>
          <w:rFonts w:ascii="Arial" w:eastAsia="Calibri" w:hAnsi="Arial" w:cs="Arial"/>
          <w:sz w:val="22"/>
          <w:szCs w:val="22"/>
          <w:lang w:val="es-AR" w:eastAsia="es-AR"/>
        </w:rPr>
        <w:t xml:space="preserve">son bastante menores respecto de </w:t>
      </w:r>
      <w:r w:rsidR="00794200">
        <w:rPr>
          <w:rFonts w:ascii="Arial" w:eastAsia="Calibri" w:hAnsi="Arial" w:cs="Arial"/>
          <w:sz w:val="22"/>
          <w:szCs w:val="22"/>
          <w:lang w:val="es-AR" w:eastAsia="es-AR"/>
        </w:rPr>
        <w:t>las gramíneas</w:t>
      </w:r>
      <w:r w:rsidR="000E7F78" w:rsidRPr="00903149">
        <w:rPr>
          <w:rFonts w:ascii="Arial" w:eastAsia="Calibri" w:hAnsi="Arial" w:cs="Arial"/>
          <w:sz w:val="22"/>
          <w:szCs w:val="22"/>
          <w:lang w:val="es-AR" w:eastAsia="es-AR"/>
        </w:rPr>
        <w:t>.</w:t>
      </w:r>
    </w:p>
    <w:p w:rsidR="00794200" w:rsidRDefault="000E7F78" w:rsidP="00923FAD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Arial" w:eastAsia="Calibri" w:hAnsi="Arial" w:cs="Arial"/>
          <w:sz w:val="22"/>
          <w:szCs w:val="22"/>
          <w:lang w:val="es-AR" w:eastAsia="es-AR"/>
        </w:rPr>
      </w:pPr>
      <w:r>
        <w:rPr>
          <w:rFonts w:ascii="Arial" w:eastAsia="Calibri" w:hAnsi="Arial" w:cs="Arial"/>
          <w:sz w:val="22"/>
          <w:szCs w:val="22"/>
          <w:lang w:val="es-AR" w:eastAsia="es-AR"/>
        </w:rPr>
        <w:t>P</w:t>
      </w:r>
      <w:r w:rsidR="0036195B">
        <w:rPr>
          <w:rFonts w:ascii="Arial" w:eastAsia="Calibri" w:hAnsi="Arial" w:cs="Arial"/>
          <w:sz w:val="22"/>
          <w:szCs w:val="22"/>
          <w:lang w:val="es-AR" w:eastAsia="es-AR"/>
        </w:rPr>
        <w:t>ara</w:t>
      </w: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 facilitar la toma de decisiones,</w:t>
      </w:r>
      <w:r w:rsidR="0036195B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0D60EA">
        <w:rPr>
          <w:rFonts w:ascii="Arial" w:eastAsia="Calibri" w:hAnsi="Arial" w:cs="Arial"/>
          <w:sz w:val="22"/>
          <w:szCs w:val="22"/>
          <w:lang w:val="es-AR" w:eastAsia="es-AR"/>
        </w:rPr>
        <w:t>existen</w:t>
      </w:r>
      <w:r w:rsidR="0036195B">
        <w:rPr>
          <w:rFonts w:ascii="Arial" w:eastAsia="Calibri" w:hAnsi="Arial" w:cs="Arial"/>
          <w:sz w:val="22"/>
          <w:szCs w:val="22"/>
          <w:lang w:val="es-AR" w:eastAsia="es-AR"/>
        </w:rPr>
        <w:t xml:space="preserve"> diferentes metodologías de diagnóstico</w:t>
      </w:r>
      <w:r w:rsidR="000D60EA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mediante las cuales es posible estimar </w:t>
      </w:r>
      <w:r w:rsidR="000D60EA">
        <w:rPr>
          <w:rFonts w:ascii="Arial" w:eastAsia="Calibri" w:hAnsi="Arial" w:cs="Arial"/>
          <w:sz w:val="22"/>
          <w:szCs w:val="22"/>
          <w:lang w:val="es-AR" w:eastAsia="es-AR"/>
        </w:rPr>
        <w:t xml:space="preserve">requerimientos, </w:t>
      </w:r>
      <w:r>
        <w:rPr>
          <w:rFonts w:ascii="Arial" w:eastAsia="Calibri" w:hAnsi="Arial" w:cs="Arial"/>
          <w:sz w:val="22"/>
          <w:szCs w:val="22"/>
          <w:lang w:val="es-AR" w:eastAsia="es-AR"/>
        </w:rPr>
        <w:t>respuestas o probabilidad de respuesta a los nutrientes</w:t>
      </w:r>
      <w:r w:rsidR="0036195B">
        <w:rPr>
          <w:rFonts w:ascii="Arial" w:eastAsia="Calibri" w:hAnsi="Arial" w:cs="Arial"/>
          <w:sz w:val="22"/>
          <w:szCs w:val="22"/>
          <w:lang w:val="es-AR" w:eastAsia="es-AR"/>
        </w:rPr>
        <w:t>.</w:t>
      </w:r>
      <w:r w:rsidR="008E6AA4">
        <w:rPr>
          <w:rFonts w:ascii="Arial" w:eastAsia="Calibri" w:hAnsi="Arial" w:cs="Arial"/>
          <w:sz w:val="22"/>
          <w:szCs w:val="22"/>
          <w:lang w:val="es-AR" w:eastAsia="es-AR"/>
        </w:rPr>
        <w:t xml:space="preserve"> Para todas ellas, la calibración local es una característica deseada para mejores recomendaciones</w:t>
      </w:r>
      <w:r w:rsidR="000D60EA">
        <w:rPr>
          <w:rFonts w:ascii="Arial" w:eastAsia="Calibri" w:hAnsi="Arial" w:cs="Arial"/>
          <w:sz w:val="22"/>
          <w:szCs w:val="22"/>
          <w:lang w:val="es-AR" w:eastAsia="es-AR"/>
        </w:rPr>
        <w:t xml:space="preserve">. </w:t>
      </w:r>
      <w:r w:rsidR="00D250A1">
        <w:rPr>
          <w:rFonts w:ascii="Arial" w:eastAsia="Calibri" w:hAnsi="Arial" w:cs="Arial"/>
          <w:sz w:val="22"/>
          <w:szCs w:val="22"/>
          <w:lang w:val="es-AR" w:eastAsia="es-AR"/>
        </w:rPr>
        <w:t>Sin embargo</w:t>
      </w:r>
      <w:r w:rsidR="00C511A5">
        <w:rPr>
          <w:rFonts w:ascii="Arial" w:eastAsia="Calibri" w:hAnsi="Arial" w:cs="Arial"/>
          <w:sz w:val="22"/>
          <w:szCs w:val="22"/>
          <w:lang w:val="es-AR" w:eastAsia="es-AR"/>
        </w:rPr>
        <w:t xml:space="preserve">, </w:t>
      </w:r>
      <w:r w:rsidR="004B0DD6">
        <w:rPr>
          <w:rFonts w:ascii="Arial" w:eastAsia="Calibri" w:hAnsi="Arial" w:cs="Arial"/>
          <w:sz w:val="22"/>
          <w:szCs w:val="22"/>
          <w:lang w:val="es-AR" w:eastAsia="es-AR"/>
        </w:rPr>
        <w:t xml:space="preserve">la </w:t>
      </w:r>
      <w:r w:rsidR="0036195B">
        <w:rPr>
          <w:rFonts w:ascii="Arial" w:eastAsia="Calibri" w:hAnsi="Arial" w:cs="Arial"/>
          <w:sz w:val="22"/>
          <w:szCs w:val="22"/>
          <w:lang w:val="es-AR" w:eastAsia="es-AR"/>
        </w:rPr>
        <w:t>decisión de fertilización</w:t>
      </w: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 -tomada</w:t>
      </w:r>
      <w:r w:rsidR="00F707C1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F707C1" w:rsidRPr="00F707C1">
        <w:rPr>
          <w:rFonts w:ascii="Arial" w:eastAsia="Calibri" w:hAnsi="Arial" w:cs="Arial"/>
          <w:i/>
          <w:sz w:val="22"/>
          <w:szCs w:val="22"/>
          <w:lang w:val="es-AR" w:eastAsia="es-AR"/>
        </w:rPr>
        <w:t>ex</w:t>
      </w:r>
      <w:r w:rsidR="00F707C1">
        <w:rPr>
          <w:rFonts w:ascii="Arial" w:eastAsia="Calibri" w:hAnsi="Arial" w:cs="Arial"/>
          <w:i/>
          <w:sz w:val="22"/>
          <w:szCs w:val="22"/>
          <w:lang w:val="es-AR" w:eastAsia="es-AR"/>
        </w:rPr>
        <w:t>-</w:t>
      </w:r>
      <w:r w:rsidR="00F707C1" w:rsidRPr="00F707C1">
        <w:rPr>
          <w:rFonts w:ascii="Arial" w:eastAsia="Calibri" w:hAnsi="Arial" w:cs="Arial"/>
          <w:i/>
          <w:sz w:val="22"/>
          <w:szCs w:val="22"/>
          <w:lang w:val="es-AR" w:eastAsia="es-AR"/>
        </w:rPr>
        <w:t>ante</w:t>
      </w:r>
      <w:r w:rsidRPr="000E7F78">
        <w:rPr>
          <w:rFonts w:ascii="Arial" w:eastAsia="Calibri" w:hAnsi="Arial" w:cs="Arial"/>
          <w:sz w:val="22"/>
          <w:szCs w:val="22"/>
          <w:lang w:val="es-AR" w:eastAsia="es-AR"/>
        </w:rPr>
        <w:t>-</w:t>
      </w:r>
      <w:r w:rsidR="0036195B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D250A1">
        <w:rPr>
          <w:rFonts w:ascii="Arial" w:eastAsia="Calibri" w:hAnsi="Arial" w:cs="Arial"/>
          <w:sz w:val="22"/>
          <w:szCs w:val="22"/>
          <w:lang w:val="es-AR" w:eastAsia="es-AR"/>
        </w:rPr>
        <w:t xml:space="preserve">finalmente depende </w:t>
      </w:r>
      <w:r w:rsidR="00962A63">
        <w:rPr>
          <w:rFonts w:ascii="Arial" w:eastAsia="Calibri" w:hAnsi="Arial" w:cs="Arial"/>
          <w:sz w:val="22"/>
          <w:szCs w:val="22"/>
          <w:lang w:val="es-AR" w:eastAsia="es-AR"/>
        </w:rPr>
        <w:t xml:space="preserve">de </w:t>
      </w:r>
      <w:r w:rsidR="00D250A1">
        <w:rPr>
          <w:rFonts w:ascii="Arial" w:eastAsia="Calibri" w:hAnsi="Arial" w:cs="Arial"/>
          <w:sz w:val="22"/>
          <w:szCs w:val="22"/>
          <w:lang w:val="es-AR" w:eastAsia="es-AR"/>
        </w:rPr>
        <w:t>aspectos económicos -y financieros-, donde</w:t>
      </w:r>
      <w:r w:rsidR="0036195B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AR" w:eastAsia="es-AR"/>
        </w:rPr>
        <w:t>la</w:t>
      </w:r>
      <w:r w:rsidR="00D250A1">
        <w:rPr>
          <w:rFonts w:ascii="Arial" w:eastAsia="Calibri" w:hAnsi="Arial" w:cs="Arial"/>
          <w:sz w:val="22"/>
          <w:szCs w:val="22"/>
          <w:lang w:val="es-AR" w:eastAsia="es-AR"/>
        </w:rPr>
        <w:t>s</w:t>
      </w: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F707C1">
        <w:rPr>
          <w:rFonts w:ascii="Arial" w:eastAsia="Calibri" w:hAnsi="Arial" w:cs="Arial"/>
          <w:sz w:val="22"/>
          <w:szCs w:val="22"/>
          <w:lang w:val="es-AR" w:eastAsia="es-AR"/>
        </w:rPr>
        <w:t>relaci</w:t>
      </w:r>
      <w:r w:rsidR="00D250A1">
        <w:rPr>
          <w:rFonts w:ascii="Arial" w:eastAsia="Calibri" w:hAnsi="Arial" w:cs="Arial"/>
          <w:sz w:val="22"/>
          <w:szCs w:val="22"/>
          <w:lang w:val="es-AR" w:eastAsia="es-AR"/>
        </w:rPr>
        <w:t>o</w:t>
      </w:r>
      <w:r>
        <w:rPr>
          <w:rFonts w:ascii="Arial" w:eastAsia="Calibri" w:hAnsi="Arial" w:cs="Arial"/>
          <w:sz w:val="22"/>
          <w:szCs w:val="22"/>
          <w:lang w:val="es-AR" w:eastAsia="es-AR"/>
        </w:rPr>
        <w:t>n</w:t>
      </w:r>
      <w:r w:rsidR="00D250A1">
        <w:rPr>
          <w:rFonts w:ascii="Arial" w:eastAsia="Calibri" w:hAnsi="Arial" w:cs="Arial"/>
          <w:sz w:val="22"/>
          <w:szCs w:val="22"/>
          <w:lang w:val="es-AR" w:eastAsia="es-AR"/>
        </w:rPr>
        <w:t>es</w:t>
      </w:r>
      <w:r w:rsidR="00F707C1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proofErr w:type="spellStart"/>
      <w:r w:rsidR="00F707C1">
        <w:rPr>
          <w:rFonts w:ascii="Arial" w:eastAsia="Calibri" w:hAnsi="Arial" w:cs="Arial"/>
          <w:sz w:val="22"/>
          <w:szCs w:val="22"/>
          <w:lang w:val="es-AR" w:eastAsia="es-AR"/>
        </w:rPr>
        <w:t>insumo</w:t>
      </w:r>
      <w:proofErr w:type="gramStart"/>
      <w:r w:rsidR="00F707C1">
        <w:rPr>
          <w:rFonts w:ascii="Arial" w:eastAsia="Calibri" w:hAnsi="Arial" w:cs="Arial"/>
          <w:sz w:val="22"/>
          <w:szCs w:val="22"/>
          <w:lang w:val="es-AR" w:eastAsia="es-AR"/>
        </w:rPr>
        <w:t>:producto</w:t>
      </w:r>
      <w:proofErr w:type="spellEnd"/>
      <w:proofErr w:type="gramEnd"/>
      <w:r w:rsidR="00F707C1">
        <w:rPr>
          <w:rFonts w:ascii="Arial" w:eastAsia="Calibri" w:hAnsi="Arial" w:cs="Arial"/>
          <w:sz w:val="22"/>
          <w:szCs w:val="22"/>
          <w:lang w:val="es-AR" w:eastAsia="es-AR"/>
        </w:rPr>
        <w:t xml:space="preserve"> determina</w:t>
      </w:r>
      <w:r w:rsidR="00D250A1">
        <w:rPr>
          <w:rFonts w:ascii="Arial" w:eastAsia="Calibri" w:hAnsi="Arial" w:cs="Arial"/>
          <w:sz w:val="22"/>
          <w:szCs w:val="22"/>
          <w:lang w:val="es-AR" w:eastAsia="es-AR"/>
        </w:rPr>
        <w:t>n</w:t>
      </w:r>
      <w:r w:rsidR="00F707C1">
        <w:rPr>
          <w:rFonts w:ascii="Arial" w:eastAsia="Calibri" w:hAnsi="Arial" w:cs="Arial"/>
          <w:sz w:val="22"/>
          <w:szCs w:val="22"/>
          <w:lang w:val="es-AR" w:eastAsia="es-AR"/>
        </w:rPr>
        <w:t xml:space="preserve"> una rentabilidad </w:t>
      </w:r>
      <w:r w:rsidR="003205D6">
        <w:rPr>
          <w:rFonts w:ascii="Arial" w:eastAsia="Calibri" w:hAnsi="Arial" w:cs="Arial"/>
          <w:sz w:val="22"/>
          <w:szCs w:val="22"/>
          <w:lang w:val="es-AR" w:eastAsia="es-AR"/>
        </w:rPr>
        <w:t xml:space="preserve">probable </w:t>
      </w:r>
      <w:r w:rsidR="00F707C1">
        <w:rPr>
          <w:rFonts w:ascii="Arial" w:eastAsia="Calibri" w:hAnsi="Arial" w:cs="Arial"/>
          <w:sz w:val="22"/>
          <w:szCs w:val="22"/>
          <w:lang w:val="es-AR" w:eastAsia="es-AR"/>
        </w:rPr>
        <w:t>de la práctica.</w:t>
      </w:r>
      <w:r w:rsidR="000D60EA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3205D6">
        <w:rPr>
          <w:rFonts w:ascii="Arial" w:eastAsia="Calibri" w:hAnsi="Arial" w:cs="Arial"/>
          <w:sz w:val="22"/>
          <w:szCs w:val="22"/>
          <w:lang w:val="es-AR" w:eastAsia="es-AR"/>
        </w:rPr>
        <w:t>Posteriormente, e</w:t>
      </w:r>
      <w:r w:rsidR="00D250A1">
        <w:rPr>
          <w:rFonts w:ascii="Arial" w:eastAsia="Calibri" w:hAnsi="Arial" w:cs="Arial"/>
          <w:sz w:val="22"/>
          <w:szCs w:val="22"/>
          <w:lang w:val="es-AR" w:eastAsia="es-AR"/>
        </w:rPr>
        <w:t>n una instancia</w:t>
      </w:r>
      <w:r w:rsidR="008E6AA4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8E6AA4" w:rsidRPr="008E6AA4">
        <w:rPr>
          <w:rFonts w:ascii="Arial" w:eastAsia="Calibri" w:hAnsi="Arial" w:cs="Arial"/>
          <w:i/>
          <w:sz w:val="22"/>
          <w:szCs w:val="22"/>
          <w:lang w:val="es-AR" w:eastAsia="es-AR"/>
        </w:rPr>
        <w:t>ex-post</w:t>
      </w:r>
      <w:r w:rsidR="003205D6">
        <w:rPr>
          <w:rFonts w:ascii="Arial" w:eastAsia="Calibri" w:hAnsi="Arial" w:cs="Arial"/>
          <w:sz w:val="22"/>
          <w:szCs w:val="22"/>
          <w:lang w:val="es-AR" w:eastAsia="es-AR"/>
        </w:rPr>
        <w:t xml:space="preserve">, </w:t>
      </w:r>
      <w:r w:rsidR="008E6AA4">
        <w:rPr>
          <w:rFonts w:ascii="Arial" w:eastAsia="Calibri" w:hAnsi="Arial" w:cs="Arial"/>
          <w:sz w:val="22"/>
          <w:szCs w:val="22"/>
          <w:lang w:val="es-AR" w:eastAsia="es-AR"/>
        </w:rPr>
        <w:t>normalmente se utilizan indicadores que estiman la eficiencia de uso de los nutrientes</w:t>
      </w:r>
      <w:r w:rsidR="00D250A1">
        <w:rPr>
          <w:rFonts w:ascii="Arial" w:eastAsia="Calibri" w:hAnsi="Arial" w:cs="Arial"/>
          <w:sz w:val="22"/>
          <w:szCs w:val="22"/>
          <w:lang w:val="es-AR" w:eastAsia="es-AR"/>
        </w:rPr>
        <w:t>, siendo clásico el uso de la eficiencia agronómica (kg respuesta kg</w:t>
      </w:r>
      <w:r w:rsidR="00D250A1" w:rsidRPr="00D250A1">
        <w:rPr>
          <w:rFonts w:ascii="Arial" w:eastAsia="Calibri" w:hAnsi="Arial" w:cs="Arial"/>
          <w:sz w:val="22"/>
          <w:szCs w:val="22"/>
          <w:vertAlign w:val="superscript"/>
          <w:lang w:val="es-AR" w:eastAsia="es-AR"/>
        </w:rPr>
        <w:t>-1</w:t>
      </w:r>
      <w:r w:rsidR="00D250A1">
        <w:rPr>
          <w:rFonts w:ascii="Arial" w:eastAsia="Calibri" w:hAnsi="Arial" w:cs="Arial"/>
          <w:sz w:val="22"/>
          <w:szCs w:val="22"/>
          <w:lang w:val="es-AR" w:eastAsia="es-AR"/>
        </w:rPr>
        <w:t xml:space="preserve"> nutriente aplicado)</w:t>
      </w:r>
      <w:r w:rsidR="00962A63">
        <w:rPr>
          <w:rFonts w:ascii="Arial" w:eastAsia="Calibri" w:hAnsi="Arial" w:cs="Arial"/>
          <w:sz w:val="22"/>
          <w:szCs w:val="22"/>
          <w:lang w:val="es-AR" w:eastAsia="es-AR"/>
        </w:rPr>
        <w:t>,</w:t>
      </w:r>
      <w:r w:rsidR="00794200">
        <w:rPr>
          <w:rFonts w:ascii="Arial" w:eastAsia="Calibri" w:hAnsi="Arial" w:cs="Arial"/>
          <w:sz w:val="22"/>
          <w:szCs w:val="22"/>
          <w:lang w:val="es-AR" w:eastAsia="es-AR"/>
        </w:rPr>
        <w:t xml:space="preserve"> dada su utilidad para realizar cálculos económicos</w:t>
      </w:r>
      <w:r w:rsidR="00D250A1">
        <w:rPr>
          <w:rFonts w:ascii="Arial" w:eastAsia="Calibri" w:hAnsi="Arial" w:cs="Arial"/>
          <w:sz w:val="22"/>
          <w:szCs w:val="22"/>
          <w:lang w:val="es-AR" w:eastAsia="es-AR"/>
        </w:rPr>
        <w:t xml:space="preserve">. </w:t>
      </w:r>
    </w:p>
    <w:p w:rsidR="00CE6F7E" w:rsidRDefault="00D250A1" w:rsidP="00923FAD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Arial" w:eastAsia="Calibri" w:hAnsi="Arial" w:cs="Arial"/>
          <w:sz w:val="22"/>
          <w:szCs w:val="22"/>
          <w:lang w:val="es-AR" w:eastAsia="es-AR"/>
        </w:rPr>
      </w:pP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El uso de </w:t>
      </w:r>
      <w:r w:rsidR="003205D6">
        <w:rPr>
          <w:rFonts w:ascii="Arial" w:eastAsia="Calibri" w:hAnsi="Arial" w:cs="Arial"/>
          <w:sz w:val="22"/>
          <w:szCs w:val="22"/>
          <w:lang w:val="es-AR" w:eastAsia="es-AR"/>
        </w:rPr>
        <w:t>l</w:t>
      </w: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as </w:t>
      </w:r>
      <w:r w:rsidR="003205D6">
        <w:rPr>
          <w:rFonts w:ascii="Arial" w:eastAsia="Calibri" w:hAnsi="Arial" w:cs="Arial"/>
          <w:sz w:val="22"/>
          <w:szCs w:val="22"/>
          <w:lang w:val="es-AR" w:eastAsia="es-AR"/>
        </w:rPr>
        <w:t>herramientas</w:t>
      </w: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 de análisis mencionadas constituye </w:t>
      </w:r>
      <w:r w:rsidR="003205D6">
        <w:rPr>
          <w:rFonts w:ascii="Arial" w:eastAsia="Calibri" w:hAnsi="Arial" w:cs="Arial"/>
          <w:sz w:val="22"/>
          <w:szCs w:val="22"/>
          <w:lang w:val="es-AR" w:eastAsia="es-AR"/>
        </w:rPr>
        <w:t>parte fundamental de</w:t>
      </w:r>
      <w:r w:rsidR="008E0017">
        <w:rPr>
          <w:rFonts w:ascii="Arial" w:eastAsia="Calibri" w:hAnsi="Arial" w:cs="Arial"/>
          <w:sz w:val="22"/>
          <w:szCs w:val="22"/>
          <w:lang w:val="es-AR" w:eastAsia="es-AR"/>
        </w:rPr>
        <w:t>l desarrollo de</w:t>
      </w: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 la</w:t>
      </w:r>
      <w:r w:rsidR="003205D6">
        <w:rPr>
          <w:rFonts w:ascii="Arial" w:eastAsia="Calibri" w:hAnsi="Arial" w:cs="Arial"/>
          <w:sz w:val="22"/>
          <w:szCs w:val="22"/>
          <w:lang w:val="es-AR" w:eastAsia="es-AR"/>
        </w:rPr>
        <w:t xml:space="preserve">s </w:t>
      </w:r>
      <w:r>
        <w:rPr>
          <w:rFonts w:ascii="Arial" w:eastAsia="Calibri" w:hAnsi="Arial" w:cs="Arial"/>
          <w:sz w:val="22"/>
          <w:szCs w:val="22"/>
          <w:lang w:val="es-AR" w:eastAsia="es-AR"/>
        </w:rPr>
        <w:t>mejores prácticas de manejo</w:t>
      </w:r>
      <w:r w:rsidR="003205D6">
        <w:rPr>
          <w:rFonts w:ascii="Arial" w:eastAsia="Calibri" w:hAnsi="Arial" w:cs="Arial"/>
          <w:sz w:val="22"/>
          <w:szCs w:val="22"/>
          <w:lang w:val="es-AR" w:eastAsia="es-AR"/>
        </w:rPr>
        <w:t xml:space="preserve"> (MPM) del uso de fertilizantes en función de características específicas de cada </w:t>
      </w:r>
      <w:r w:rsidR="003205D6" w:rsidRPr="003205D6">
        <w:rPr>
          <w:rFonts w:ascii="Arial" w:eastAsia="Calibri" w:hAnsi="Arial" w:cs="Arial"/>
          <w:sz w:val="22"/>
          <w:szCs w:val="22"/>
          <w:lang w:val="es-AR" w:eastAsia="es-AR"/>
        </w:rPr>
        <w:t>sitio (</w:t>
      </w:r>
      <w:proofErr w:type="spellStart"/>
      <w:r w:rsidR="003205D6" w:rsidRPr="003205D6">
        <w:rPr>
          <w:rFonts w:ascii="Arial" w:eastAsia="Calibri" w:hAnsi="Arial" w:cs="Arial"/>
          <w:sz w:val="22"/>
          <w:szCs w:val="22"/>
          <w:lang w:val="es-AR" w:eastAsia="es-AR"/>
        </w:rPr>
        <w:t>Bruulsema</w:t>
      </w:r>
      <w:proofErr w:type="spellEnd"/>
      <w:r w:rsidR="003205D6" w:rsidRPr="003205D6">
        <w:rPr>
          <w:rFonts w:ascii="Arial" w:eastAsia="Calibri" w:hAnsi="Arial" w:cs="Arial"/>
          <w:sz w:val="22"/>
          <w:szCs w:val="22"/>
          <w:lang w:val="es-AR" w:eastAsia="es-AR"/>
        </w:rPr>
        <w:t>, 2008</w:t>
      </w:r>
      <w:r w:rsidR="003205D6">
        <w:rPr>
          <w:rFonts w:ascii="Arial" w:eastAsia="Calibri" w:hAnsi="Arial" w:cs="Arial"/>
          <w:sz w:val="22"/>
          <w:szCs w:val="22"/>
          <w:lang w:val="es-AR" w:eastAsia="es-AR"/>
        </w:rPr>
        <w:t>)</w:t>
      </w:r>
      <w:r>
        <w:rPr>
          <w:rFonts w:ascii="Arial" w:eastAsia="Calibri" w:hAnsi="Arial" w:cs="Arial"/>
          <w:sz w:val="22"/>
          <w:szCs w:val="22"/>
          <w:lang w:val="es-AR" w:eastAsia="es-AR"/>
        </w:rPr>
        <w:t>.</w:t>
      </w:r>
      <w:r w:rsidR="00794200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3205D6">
        <w:rPr>
          <w:rFonts w:ascii="Arial" w:eastAsia="Calibri" w:hAnsi="Arial" w:cs="Arial"/>
          <w:sz w:val="22"/>
          <w:szCs w:val="22"/>
          <w:lang w:val="es-AR" w:eastAsia="es-AR"/>
        </w:rPr>
        <w:t>L</w:t>
      </w:r>
      <w:r w:rsidR="00C511A5">
        <w:rPr>
          <w:rFonts w:ascii="Arial" w:eastAsia="Calibri" w:hAnsi="Arial" w:cs="Arial"/>
          <w:sz w:val="22"/>
          <w:szCs w:val="22"/>
          <w:lang w:val="es-AR" w:eastAsia="es-AR"/>
        </w:rPr>
        <w:t xml:space="preserve">as </w:t>
      </w:r>
      <w:r w:rsidR="003205D6">
        <w:rPr>
          <w:rFonts w:ascii="Arial" w:eastAsia="Calibri" w:hAnsi="Arial" w:cs="Arial"/>
          <w:sz w:val="22"/>
          <w:szCs w:val="22"/>
          <w:lang w:val="es-AR" w:eastAsia="es-AR"/>
        </w:rPr>
        <w:t>MPM</w:t>
      </w:r>
      <w:r w:rsidR="00C511A5">
        <w:rPr>
          <w:rFonts w:ascii="Arial" w:eastAsia="Calibri" w:hAnsi="Arial" w:cs="Arial"/>
          <w:sz w:val="22"/>
          <w:szCs w:val="22"/>
          <w:lang w:val="es-AR" w:eastAsia="es-AR"/>
        </w:rPr>
        <w:t xml:space="preserve"> de la nutrición de cultivos son </w:t>
      </w:r>
      <w:r w:rsidR="003205D6">
        <w:rPr>
          <w:rFonts w:ascii="Arial" w:eastAsia="Calibri" w:hAnsi="Arial" w:cs="Arial"/>
          <w:sz w:val="22"/>
          <w:szCs w:val="22"/>
          <w:lang w:val="es-AR" w:eastAsia="es-AR"/>
        </w:rPr>
        <w:t>estratégicas</w:t>
      </w:r>
      <w:r w:rsidR="00C511A5">
        <w:rPr>
          <w:rFonts w:ascii="Arial" w:eastAsia="Calibri" w:hAnsi="Arial" w:cs="Arial"/>
          <w:sz w:val="22"/>
          <w:szCs w:val="22"/>
          <w:lang w:val="es-AR" w:eastAsia="es-AR"/>
        </w:rPr>
        <w:t xml:space="preserve"> para incrementar la productividad del sistema de forma sustentable. Este concepto</w:t>
      </w:r>
      <w:r w:rsidR="003205D6">
        <w:rPr>
          <w:rFonts w:ascii="Arial" w:eastAsia="Calibri" w:hAnsi="Arial" w:cs="Arial"/>
          <w:sz w:val="22"/>
          <w:szCs w:val="22"/>
          <w:lang w:val="es-AR" w:eastAsia="es-AR"/>
        </w:rPr>
        <w:t xml:space="preserve"> es complejo, y</w:t>
      </w:r>
      <w:r w:rsidR="00C511A5">
        <w:rPr>
          <w:rFonts w:ascii="Arial" w:eastAsia="Calibri" w:hAnsi="Arial" w:cs="Arial"/>
          <w:sz w:val="22"/>
          <w:szCs w:val="22"/>
          <w:lang w:val="es-AR" w:eastAsia="es-AR"/>
        </w:rPr>
        <w:t xml:space="preserve"> consiste tanto de dimensiones económicas, </w:t>
      </w:r>
      <w:r w:rsidR="003205D6">
        <w:rPr>
          <w:rFonts w:ascii="Arial" w:eastAsia="Calibri" w:hAnsi="Arial" w:cs="Arial"/>
          <w:sz w:val="22"/>
          <w:szCs w:val="22"/>
          <w:lang w:val="es-AR" w:eastAsia="es-AR"/>
        </w:rPr>
        <w:t xml:space="preserve">como </w:t>
      </w:r>
      <w:r w:rsidR="00C511A5">
        <w:rPr>
          <w:rFonts w:ascii="Arial" w:eastAsia="Calibri" w:hAnsi="Arial" w:cs="Arial"/>
          <w:sz w:val="22"/>
          <w:szCs w:val="22"/>
          <w:lang w:val="es-AR" w:eastAsia="es-AR"/>
        </w:rPr>
        <w:t xml:space="preserve">sociales y ambientales, que necesitan ser incluidas en </w:t>
      </w:r>
      <w:r w:rsidR="00F707C1">
        <w:rPr>
          <w:rFonts w:ascii="Arial" w:eastAsia="Calibri" w:hAnsi="Arial" w:cs="Arial"/>
          <w:sz w:val="22"/>
          <w:szCs w:val="22"/>
          <w:lang w:val="es-AR" w:eastAsia="es-AR"/>
        </w:rPr>
        <w:t>las recomendaciones de manejo</w:t>
      </w:r>
      <w:r w:rsidR="00923FAD">
        <w:rPr>
          <w:rFonts w:ascii="Arial" w:eastAsia="Calibri" w:hAnsi="Arial" w:cs="Arial"/>
          <w:sz w:val="22"/>
          <w:szCs w:val="22"/>
          <w:lang w:val="es-AR" w:eastAsia="es-AR"/>
        </w:rPr>
        <w:t xml:space="preserve"> (IPNI, 2013)</w:t>
      </w:r>
      <w:r w:rsidR="00F707C1">
        <w:rPr>
          <w:rFonts w:ascii="Arial" w:eastAsia="Calibri" w:hAnsi="Arial" w:cs="Arial"/>
          <w:sz w:val="22"/>
          <w:szCs w:val="22"/>
          <w:lang w:val="es-AR" w:eastAsia="es-AR"/>
        </w:rPr>
        <w:t xml:space="preserve">. En este </w:t>
      </w:r>
      <w:r w:rsidR="00923FAD">
        <w:rPr>
          <w:rFonts w:ascii="Arial" w:eastAsia="Calibri" w:hAnsi="Arial" w:cs="Arial"/>
          <w:sz w:val="22"/>
          <w:szCs w:val="22"/>
          <w:lang w:val="es-AR" w:eastAsia="es-AR"/>
        </w:rPr>
        <w:t>trabajo</w:t>
      </w:r>
      <w:r w:rsidR="00F707C1">
        <w:rPr>
          <w:rFonts w:ascii="Arial" w:eastAsia="Calibri" w:hAnsi="Arial" w:cs="Arial"/>
          <w:sz w:val="22"/>
          <w:szCs w:val="22"/>
          <w:lang w:val="es-AR" w:eastAsia="es-AR"/>
        </w:rPr>
        <w:t>, se analizan algunos aspectos de la dimensión económica referidos al manejo de la nutrición nitrogenada, fosforada y azufrada</w:t>
      </w:r>
      <w:r w:rsidR="00923FAD">
        <w:rPr>
          <w:rFonts w:ascii="Arial" w:eastAsia="Calibri" w:hAnsi="Arial" w:cs="Arial"/>
          <w:sz w:val="22"/>
          <w:szCs w:val="22"/>
          <w:lang w:val="es-AR" w:eastAsia="es-AR"/>
        </w:rPr>
        <w:t xml:space="preserve"> en </w:t>
      </w:r>
      <w:r w:rsidR="00923FAD" w:rsidRPr="00923FAD">
        <w:rPr>
          <w:rFonts w:ascii="Arial" w:eastAsia="Calibri" w:hAnsi="Arial" w:cs="Arial"/>
          <w:sz w:val="22"/>
          <w:szCs w:val="22"/>
          <w:lang w:val="es-AR" w:eastAsia="es-AR"/>
        </w:rPr>
        <w:t>ma</w:t>
      </w:r>
      <w:r w:rsidR="00923FAD">
        <w:rPr>
          <w:rFonts w:ascii="Arial" w:eastAsia="Calibri" w:hAnsi="Arial" w:cs="Arial"/>
          <w:sz w:val="22"/>
          <w:szCs w:val="22"/>
          <w:lang w:val="es-AR" w:eastAsia="es-AR"/>
        </w:rPr>
        <w:t>íz</w:t>
      </w:r>
      <w:r w:rsidR="00923FAD" w:rsidRPr="00923FAD">
        <w:rPr>
          <w:rFonts w:ascii="Arial" w:eastAsia="Calibri" w:hAnsi="Arial" w:cs="Arial"/>
          <w:sz w:val="22"/>
          <w:szCs w:val="22"/>
          <w:lang w:val="es-AR" w:eastAsia="es-AR"/>
        </w:rPr>
        <w:t xml:space="preserve">, </w:t>
      </w:r>
      <w:r w:rsidR="00923FAD">
        <w:rPr>
          <w:rFonts w:ascii="Arial" w:eastAsia="Calibri" w:hAnsi="Arial" w:cs="Arial"/>
          <w:sz w:val="22"/>
          <w:szCs w:val="22"/>
          <w:lang w:val="es-AR" w:eastAsia="es-AR"/>
        </w:rPr>
        <w:t>trigo</w:t>
      </w:r>
      <w:r w:rsidR="00923FAD" w:rsidRPr="00923FAD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923FAD">
        <w:rPr>
          <w:rFonts w:ascii="Arial" w:eastAsia="Calibri" w:hAnsi="Arial" w:cs="Arial"/>
          <w:sz w:val="22"/>
          <w:szCs w:val="22"/>
          <w:lang w:val="es-AR" w:eastAsia="es-AR"/>
        </w:rPr>
        <w:t>y soja</w:t>
      </w:r>
      <w:r w:rsidR="00923FAD" w:rsidRPr="00923FAD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923FAD" w:rsidRPr="00C511A5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923FAD">
        <w:rPr>
          <w:rFonts w:ascii="Arial" w:eastAsia="Calibri" w:hAnsi="Arial" w:cs="Arial"/>
          <w:sz w:val="22"/>
          <w:szCs w:val="22"/>
          <w:lang w:val="es-AR" w:eastAsia="es-AR"/>
        </w:rPr>
        <w:t>en experimentos de fertilización de largo plazo</w:t>
      </w:r>
      <w:r w:rsidR="003205D6">
        <w:rPr>
          <w:rFonts w:ascii="Arial" w:eastAsia="Calibri" w:hAnsi="Arial" w:cs="Arial"/>
          <w:sz w:val="22"/>
          <w:szCs w:val="22"/>
          <w:lang w:val="es-AR" w:eastAsia="es-AR"/>
        </w:rPr>
        <w:t xml:space="preserve"> en la región pampeana centro-norte</w:t>
      </w:r>
      <w:r w:rsidR="00F707C1">
        <w:rPr>
          <w:rFonts w:ascii="Arial" w:eastAsia="Calibri" w:hAnsi="Arial" w:cs="Arial"/>
          <w:sz w:val="22"/>
          <w:szCs w:val="22"/>
          <w:lang w:val="es-AR" w:eastAsia="es-AR"/>
        </w:rPr>
        <w:t>.</w:t>
      </w:r>
    </w:p>
    <w:bookmarkEnd w:id="1"/>
    <w:p w:rsidR="00CE6F7E" w:rsidRPr="004F501E" w:rsidRDefault="00CE6F7E" w:rsidP="00CE6F7E">
      <w:pPr>
        <w:autoSpaceDE w:val="0"/>
        <w:autoSpaceDN w:val="0"/>
        <w:adjustRightInd w:val="0"/>
        <w:spacing w:line="288" w:lineRule="auto"/>
        <w:outlineLvl w:val="0"/>
        <w:rPr>
          <w:rFonts w:ascii="Arial" w:eastAsia="Calibri" w:hAnsi="Arial" w:cs="Arial"/>
          <w:sz w:val="22"/>
          <w:szCs w:val="22"/>
          <w:lang w:val="es-AR" w:eastAsia="es-AR"/>
        </w:rPr>
      </w:pPr>
    </w:p>
    <w:p w:rsidR="004F501E" w:rsidRPr="0027482F" w:rsidRDefault="004F501E" w:rsidP="004F501E">
      <w:pPr>
        <w:autoSpaceDE w:val="0"/>
        <w:autoSpaceDN w:val="0"/>
        <w:adjustRightInd w:val="0"/>
        <w:spacing w:line="288" w:lineRule="auto"/>
        <w:ind w:left="1644" w:hanging="1644"/>
        <w:outlineLvl w:val="0"/>
        <w:rPr>
          <w:rFonts w:ascii="Arial" w:hAnsi="Arial" w:cs="Arial"/>
          <w:b/>
          <w:bCs/>
          <w:lang w:val="es-AR"/>
        </w:rPr>
      </w:pPr>
      <w:r w:rsidRPr="0027482F">
        <w:rPr>
          <w:rFonts w:ascii="Arial" w:hAnsi="Arial" w:cs="Arial"/>
          <w:b/>
          <w:bCs/>
          <w:lang w:val="es-AR"/>
        </w:rPr>
        <w:t>MATERIALES Y MÉTODOS</w:t>
      </w:r>
    </w:p>
    <w:p w:rsidR="00F707C1" w:rsidRDefault="00F707C1" w:rsidP="00A96BAD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Arial" w:eastAsia="Calibri" w:hAnsi="Arial" w:cs="Arial"/>
          <w:sz w:val="22"/>
          <w:szCs w:val="22"/>
          <w:lang w:val="es-AR" w:eastAsia="es-AR"/>
        </w:rPr>
      </w:pPr>
      <w:r w:rsidRPr="000D37C2">
        <w:rPr>
          <w:rFonts w:ascii="Arial" w:eastAsia="Calibri" w:hAnsi="Arial" w:cs="Arial"/>
          <w:sz w:val="22"/>
          <w:szCs w:val="22"/>
          <w:lang w:val="es-AR" w:eastAsia="es-AR"/>
        </w:rPr>
        <w:t xml:space="preserve">Desde el año 2000, CREA Sur de Santa Fe, IPNI Cono Sur y </w:t>
      </w:r>
      <w:proofErr w:type="spellStart"/>
      <w:r w:rsidRPr="000D37C2">
        <w:rPr>
          <w:rFonts w:ascii="Arial" w:eastAsia="Calibri" w:hAnsi="Arial" w:cs="Arial"/>
          <w:sz w:val="22"/>
          <w:szCs w:val="22"/>
          <w:lang w:val="es-AR" w:eastAsia="es-AR"/>
        </w:rPr>
        <w:t>Agroservicios</w:t>
      </w:r>
      <w:proofErr w:type="spellEnd"/>
      <w:r w:rsidRPr="000D37C2">
        <w:rPr>
          <w:rFonts w:ascii="Arial" w:eastAsia="Calibri" w:hAnsi="Arial" w:cs="Arial"/>
          <w:sz w:val="22"/>
          <w:szCs w:val="22"/>
          <w:lang w:val="es-AR" w:eastAsia="es-AR"/>
        </w:rPr>
        <w:t xml:space="preserve"> Pampeanos SA (ASP)</w:t>
      </w:r>
      <w:r w:rsidR="000D37C2" w:rsidRPr="000D37C2">
        <w:rPr>
          <w:rFonts w:ascii="Arial" w:eastAsia="Calibri" w:hAnsi="Arial" w:cs="Arial"/>
          <w:sz w:val="22"/>
          <w:szCs w:val="22"/>
          <w:lang w:val="es-AR" w:eastAsia="es-AR"/>
        </w:rPr>
        <w:t xml:space="preserve"> mantienen en conjunto ensayos de nutrici</w:t>
      </w:r>
      <w:r w:rsidR="000D37C2">
        <w:rPr>
          <w:rFonts w:ascii="Arial" w:eastAsia="Calibri" w:hAnsi="Arial" w:cs="Arial"/>
          <w:sz w:val="22"/>
          <w:szCs w:val="22"/>
          <w:lang w:val="es-AR" w:eastAsia="es-AR"/>
        </w:rPr>
        <w:t xml:space="preserve">ón de cultivos en campo de productores de la región pampeana centro-norte (García et al., 2010). </w:t>
      </w:r>
      <w:r w:rsidR="00EC21E6" w:rsidRPr="00EC21E6">
        <w:rPr>
          <w:rFonts w:ascii="Arial" w:eastAsia="Calibri" w:hAnsi="Arial" w:cs="Arial"/>
          <w:sz w:val="22"/>
          <w:szCs w:val="22"/>
          <w:lang w:val="es-AR" w:eastAsia="es-AR"/>
        </w:rPr>
        <w:t>Esta red experimental se estableció con once ensayos bajo sistemas de siembra directa estabilizados, de los cuales se analizaron c</w:t>
      </w:r>
      <w:r w:rsidR="00EC21E6">
        <w:rPr>
          <w:rFonts w:ascii="Arial" w:eastAsia="Calibri" w:hAnsi="Arial" w:cs="Arial"/>
          <w:sz w:val="22"/>
          <w:szCs w:val="22"/>
          <w:lang w:val="es-AR" w:eastAsia="es-AR"/>
        </w:rPr>
        <w:t>inc</w:t>
      </w:r>
      <w:r w:rsidR="00EC21E6" w:rsidRPr="00EC21E6">
        <w:rPr>
          <w:rFonts w:ascii="Arial" w:eastAsia="Calibri" w:hAnsi="Arial" w:cs="Arial"/>
          <w:sz w:val="22"/>
          <w:szCs w:val="22"/>
          <w:lang w:val="es-AR" w:eastAsia="es-AR"/>
        </w:rPr>
        <w:t>o sitios</w:t>
      </w:r>
      <w:r w:rsidR="00FB1B56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FB1B56" w:rsidRPr="00BE1297">
        <w:rPr>
          <w:rFonts w:ascii="Arial" w:eastAsia="Calibri" w:hAnsi="Arial" w:cs="Arial"/>
          <w:sz w:val="22"/>
          <w:szCs w:val="22"/>
          <w:lang w:val="es-AR" w:eastAsia="es-AR"/>
        </w:rPr>
        <w:lastRenderedPageBreak/>
        <w:t>(Tabla 1)</w:t>
      </w:r>
      <w:r w:rsidR="00EC21E6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. El período evaluado estuvo comprendido entre las campañas agrícolas 2000/01 y 2012/13. El diseño experimental de los ensayos </w:t>
      </w:r>
      <w:r w:rsidR="00962A63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es </w:t>
      </w:r>
      <w:r w:rsidR="00EC21E6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en bloques completos aleatorizados (DBCA), con tres repeticiones. El tamaño de las parcelas es de 25-30 m de ancho y 65-70 m de largo. </w:t>
      </w:r>
      <w:r w:rsidR="00C73143" w:rsidRPr="00BE1297">
        <w:rPr>
          <w:rFonts w:ascii="Arial" w:eastAsia="Calibri" w:hAnsi="Arial" w:cs="Arial"/>
          <w:sz w:val="22"/>
          <w:szCs w:val="22"/>
          <w:lang w:val="es-AR" w:eastAsia="es-AR"/>
        </w:rPr>
        <w:t>En cada sitio, c</w:t>
      </w:r>
      <w:r w:rsidR="000D37C2" w:rsidRPr="00BE1297">
        <w:rPr>
          <w:rFonts w:ascii="Arial" w:eastAsia="Calibri" w:hAnsi="Arial" w:cs="Arial"/>
          <w:sz w:val="22"/>
          <w:szCs w:val="22"/>
          <w:lang w:val="es-AR" w:eastAsia="es-AR"/>
        </w:rPr>
        <w:t>on el objetivo de evaluar diferentes manejos y  respuesta</w:t>
      </w:r>
      <w:r w:rsidR="00923FAD" w:rsidRPr="00BE1297">
        <w:rPr>
          <w:rFonts w:ascii="Arial" w:eastAsia="Calibri" w:hAnsi="Arial" w:cs="Arial"/>
          <w:sz w:val="22"/>
          <w:szCs w:val="22"/>
          <w:lang w:val="es-AR" w:eastAsia="es-AR"/>
        </w:rPr>
        <w:t>s a la fertilización</w:t>
      </w:r>
      <w:r w:rsidR="000D37C2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923FAD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con </w:t>
      </w:r>
      <w:r w:rsidR="000D37C2" w:rsidRPr="00BE1297">
        <w:rPr>
          <w:rFonts w:ascii="Arial" w:eastAsia="Calibri" w:hAnsi="Arial" w:cs="Arial"/>
          <w:sz w:val="22"/>
          <w:szCs w:val="22"/>
          <w:lang w:val="es-AR" w:eastAsia="es-AR"/>
        </w:rPr>
        <w:t>N, P, y S</w:t>
      </w:r>
      <w:r w:rsidR="00EC21E6" w:rsidRPr="00BE1297">
        <w:rPr>
          <w:rFonts w:ascii="Arial" w:eastAsia="Calibri" w:hAnsi="Arial" w:cs="Arial"/>
          <w:sz w:val="22"/>
          <w:szCs w:val="22"/>
          <w:lang w:val="es-AR" w:eastAsia="es-AR"/>
        </w:rPr>
        <w:t>,</w:t>
      </w:r>
      <w:r w:rsidR="000D37C2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634193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se </w:t>
      </w:r>
      <w:r w:rsidR="00962A63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disponen </w:t>
      </w:r>
      <w:r w:rsidR="00634193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distintos tratamientos </w:t>
      </w:r>
      <w:r w:rsidR="00C73143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que se </w:t>
      </w:r>
      <w:r w:rsidR="00962A63" w:rsidRPr="00BE1297">
        <w:rPr>
          <w:rFonts w:ascii="Arial" w:eastAsia="Calibri" w:hAnsi="Arial" w:cs="Arial"/>
          <w:sz w:val="22"/>
          <w:szCs w:val="22"/>
          <w:lang w:val="es-AR" w:eastAsia="es-AR"/>
        </w:rPr>
        <w:t>repiten</w:t>
      </w:r>
      <w:r w:rsidR="00C73143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de forma </w:t>
      </w:r>
      <w:r w:rsidR="00923FAD" w:rsidRPr="00BE1297">
        <w:rPr>
          <w:rFonts w:ascii="Arial" w:eastAsia="Calibri" w:hAnsi="Arial" w:cs="Arial"/>
          <w:sz w:val="22"/>
          <w:szCs w:val="22"/>
          <w:lang w:val="es-AR" w:eastAsia="es-AR"/>
        </w:rPr>
        <w:t>anual sobre las mismas parcelas</w:t>
      </w:r>
      <w:r w:rsidR="00EC21E6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(Tabla </w:t>
      </w:r>
      <w:r w:rsidR="008E0017" w:rsidRPr="00BE1297">
        <w:rPr>
          <w:rFonts w:ascii="Arial" w:eastAsia="Calibri" w:hAnsi="Arial" w:cs="Arial"/>
          <w:sz w:val="22"/>
          <w:szCs w:val="22"/>
          <w:lang w:val="es-AR" w:eastAsia="es-AR"/>
        </w:rPr>
        <w:t>2</w:t>
      </w:r>
      <w:r w:rsidR="00EC21E6" w:rsidRPr="00BE1297">
        <w:rPr>
          <w:rFonts w:ascii="Arial" w:eastAsia="Calibri" w:hAnsi="Arial" w:cs="Arial"/>
          <w:sz w:val="22"/>
          <w:szCs w:val="22"/>
          <w:lang w:val="es-AR" w:eastAsia="es-AR"/>
        </w:rPr>
        <w:t>)</w:t>
      </w:r>
      <w:r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. </w:t>
      </w:r>
      <w:r w:rsidR="008C31F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La soja de primera no se </w:t>
      </w:r>
      <w:r w:rsidR="00962A63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fertiliza </w:t>
      </w:r>
      <w:r w:rsidR="008C31F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con N, mientras que la secuencia trigo/soja de segunda se </w:t>
      </w:r>
      <w:r w:rsidR="00962A63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maneja </w:t>
      </w:r>
      <w:r w:rsidR="008C31F7" w:rsidRPr="00BE1297">
        <w:rPr>
          <w:rFonts w:ascii="Arial" w:eastAsia="Calibri" w:hAnsi="Arial" w:cs="Arial"/>
          <w:sz w:val="22"/>
          <w:szCs w:val="22"/>
          <w:lang w:val="es-AR" w:eastAsia="es-AR"/>
        </w:rPr>
        <w:t>fertilizando a</w:t>
      </w:r>
      <w:r w:rsidR="008C31F7">
        <w:rPr>
          <w:rFonts w:ascii="Arial" w:eastAsia="Calibri" w:hAnsi="Arial" w:cs="Arial"/>
          <w:sz w:val="22"/>
          <w:szCs w:val="22"/>
          <w:lang w:val="es-AR" w:eastAsia="es-AR"/>
        </w:rPr>
        <w:t xml:space="preserve"> la siembra del trigo con dosis para ambos cultivos.</w:t>
      </w:r>
      <w:r w:rsidR="00AB7B7C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144066">
        <w:rPr>
          <w:rFonts w:ascii="Arial" w:eastAsia="Calibri" w:hAnsi="Arial" w:cs="Arial"/>
          <w:sz w:val="22"/>
          <w:szCs w:val="22"/>
          <w:lang w:val="es-AR" w:eastAsia="es-AR"/>
        </w:rPr>
        <w:t xml:space="preserve">Las fuentes de nutrientes </w:t>
      </w:r>
      <w:r w:rsidR="00962A63">
        <w:rPr>
          <w:rFonts w:ascii="Arial" w:eastAsia="Calibri" w:hAnsi="Arial" w:cs="Arial"/>
          <w:sz w:val="22"/>
          <w:szCs w:val="22"/>
          <w:lang w:val="es-AR" w:eastAsia="es-AR"/>
        </w:rPr>
        <w:t>s</w:t>
      </w:r>
      <w:r w:rsidR="008E0017">
        <w:rPr>
          <w:rFonts w:ascii="Arial" w:eastAsia="Calibri" w:hAnsi="Arial" w:cs="Arial"/>
          <w:sz w:val="22"/>
          <w:szCs w:val="22"/>
          <w:lang w:val="es-AR" w:eastAsia="es-AR"/>
        </w:rPr>
        <w:t>on</w:t>
      </w:r>
      <w:r w:rsidR="006E371C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Pr="006E371C">
        <w:rPr>
          <w:rFonts w:ascii="Arial" w:eastAsia="Calibri" w:hAnsi="Arial" w:cs="Arial"/>
          <w:sz w:val="22"/>
          <w:szCs w:val="22"/>
          <w:lang w:val="es-AR" w:eastAsia="es-AR"/>
        </w:rPr>
        <w:t xml:space="preserve">urea (46-0-0), </w:t>
      </w:r>
      <w:r w:rsidR="006E371C">
        <w:rPr>
          <w:rFonts w:ascii="Arial" w:eastAsia="Calibri" w:hAnsi="Arial" w:cs="Arial"/>
          <w:sz w:val="22"/>
          <w:szCs w:val="22"/>
          <w:lang w:val="es-AR" w:eastAsia="es-AR"/>
        </w:rPr>
        <w:t xml:space="preserve">fosfato </w:t>
      </w:r>
      <w:proofErr w:type="spellStart"/>
      <w:r w:rsidR="006E371C">
        <w:rPr>
          <w:rFonts w:ascii="Arial" w:eastAsia="Calibri" w:hAnsi="Arial" w:cs="Arial"/>
          <w:sz w:val="22"/>
          <w:szCs w:val="22"/>
          <w:lang w:val="es-AR" w:eastAsia="es-AR"/>
        </w:rPr>
        <w:t>monoamónico</w:t>
      </w:r>
      <w:proofErr w:type="spellEnd"/>
      <w:r w:rsidRPr="006E371C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A96BAD">
        <w:rPr>
          <w:rFonts w:ascii="Arial" w:eastAsia="Calibri" w:hAnsi="Arial" w:cs="Arial"/>
          <w:sz w:val="22"/>
          <w:szCs w:val="22"/>
          <w:lang w:val="es-AR" w:eastAsia="es-AR"/>
        </w:rPr>
        <w:t>–</w:t>
      </w:r>
      <w:r w:rsidR="008C31F7">
        <w:rPr>
          <w:rFonts w:ascii="Arial" w:eastAsia="Calibri" w:hAnsi="Arial" w:cs="Arial"/>
          <w:sz w:val="22"/>
          <w:szCs w:val="22"/>
          <w:lang w:val="es-AR" w:eastAsia="es-AR"/>
        </w:rPr>
        <w:t>FMA</w:t>
      </w:r>
      <w:r w:rsidR="00A96BAD">
        <w:rPr>
          <w:rFonts w:ascii="Arial" w:eastAsia="Calibri" w:hAnsi="Arial" w:cs="Arial"/>
          <w:sz w:val="22"/>
          <w:szCs w:val="22"/>
          <w:lang w:val="es-AR" w:eastAsia="es-AR"/>
        </w:rPr>
        <w:t xml:space="preserve">- </w:t>
      </w:r>
      <w:r w:rsidRPr="006E371C">
        <w:rPr>
          <w:rFonts w:ascii="Arial" w:eastAsia="Calibri" w:hAnsi="Arial" w:cs="Arial"/>
          <w:sz w:val="22"/>
          <w:szCs w:val="22"/>
          <w:lang w:val="es-AR" w:eastAsia="es-AR"/>
        </w:rPr>
        <w:t xml:space="preserve">(11-52-0), </w:t>
      </w:r>
      <w:r w:rsidR="006E371C">
        <w:rPr>
          <w:rFonts w:ascii="Arial" w:eastAsia="Calibri" w:hAnsi="Arial" w:cs="Arial"/>
          <w:sz w:val="22"/>
          <w:szCs w:val="22"/>
          <w:lang w:val="es-AR" w:eastAsia="es-AR"/>
        </w:rPr>
        <w:t>y</w:t>
      </w:r>
      <w:r w:rsidRPr="006E371C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6E371C">
        <w:rPr>
          <w:rFonts w:ascii="Arial" w:eastAsia="Calibri" w:hAnsi="Arial" w:cs="Arial"/>
          <w:sz w:val="22"/>
          <w:szCs w:val="22"/>
          <w:lang w:val="es-AR" w:eastAsia="es-AR"/>
        </w:rPr>
        <w:t xml:space="preserve">yeso agrícola </w:t>
      </w:r>
      <w:r w:rsidRPr="006E371C">
        <w:rPr>
          <w:rFonts w:ascii="Arial" w:eastAsia="Calibri" w:hAnsi="Arial" w:cs="Arial"/>
          <w:sz w:val="22"/>
          <w:szCs w:val="22"/>
          <w:lang w:val="es-AR" w:eastAsia="es-AR"/>
        </w:rPr>
        <w:t xml:space="preserve">(0-0-0-19S) </w:t>
      </w:r>
      <w:r w:rsidR="006E371C">
        <w:rPr>
          <w:rFonts w:ascii="Arial" w:eastAsia="Calibri" w:hAnsi="Arial" w:cs="Arial"/>
          <w:sz w:val="22"/>
          <w:szCs w:val="22"/>
          <w:lang w:val="es-AR" w:eastAsia="es-AR"/>
        </w:rPr>
        <w:t xml:space="preserve">para </w:t>
      </w:r>
      <w:r w:rsidRPr="006E371C">
        <w:rPr>
          <w:rFonts w:ascii="Arial" w:eastAsia="Calibri" w:hAnsi="Arial" w:cs="Arial"/>
          <w:sz w:val="22"/>
          <w:szCs w:val="22"/>
          <w:lang w:val="es-AR" w:eastAsia="es-AR"/>
        </w:rPr>
        <w:t>N, P</w:t>
      </w:r>
      <w:r w:rsidR="008E0017">
        <w:rPr>
          <w:rFonts w:ascii="Arial" w:eastAsia="Calibri" w:hAnsi="Arial" w:cs="Arial"/>
          <w:sz w:val="22"/>
          <w:szCs w:val="22"/>
          <w:lang w:val="es-AR" w:eastAsia="es-AR"/>
        </w:rPr>
        <w:t>,</w:t>
      </w:r>
      <w:r w:rsidRPr="006E371C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6E371C">
        <w:rPr>
          <w:rFonts w:ascii="Arial" w:eastAsia="Calibri" w:hAnsi="Arial" w:cs="Arial"/>
          <w:sz w:val="22"/>
          <w:szCs w:val="22"/>
          <w:lang w:val="es-AR" w:eastAsia="es-AR"/>
        </w:rPr>
        <w:t>y</w:t>
      </w:r>
      <w:r w:rsidRPr="006E371C">
        <w:rPr>
          <w:rFonts w:ascii="Arial" w:eastAsia="Calibri" w:hAnsi="Arial" w:cs="Arial"/>
          <w:sz w:val="22"/>
          <w:szCs w:val="22"/>
          <w:lang w:val="es-AR" w:eastAsia="es-AR"/>
        </w:rPr>
        <w:t xml:space="preserve"> S, respectiv</w:t>
      </w:r>
      <w:r w:rsidR="006E371C">
        <w:rPr>
          <w:rFonts w:ascii="Arial" w:eastAsia="Calibri" w:hAnsi="Arial" w:cs="Arial"/>
          <w:sz w:val="22"/>
          <w:szCs w:val="22"/>
          <w:lang w:val="es-AR" w:eastAsia="es-AR"/>
        </w:rPr>
        <w:t>amente</w:t>
      </w:r>
      <w:r w:rsidRPr="006E371C">
        <w:rPr>
          <w:rFonts w:ascii="Arial" w:eastAsia="Calibri" w:hAnsi="Arial" w:cs="Arial"/>
          <w:sz w:val="22"/>
          <w:szCs w:val="22"/>
          <w:lang w:val="es-AR" w:eastAsia="es-AR"/>
        </w:rPr>
        <w:t>.</w:t>
      </w:r>
      <w:r w:rsidR="00704CDE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</w:p>
    <w:p w:rsidR="00EC21E6" w:rsidRDefault="00EC21E6" w:rsidP="00A96BAD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Arial" w:eastAsia="Calibri" w:hAnsi="Arial" w:cs="Arial"/>
          <w:sz w:val="22"/>
          <w:szCs w:val="22"/>
          <w:lang w:val="es-AR" w:eastAsia="es-AR"/>
        </w:rPr>
      </w:pPr>
    </w:p>
    <w:p w:rsidR="00D03B0C" w:rsidRPr="00BE1297" w:rsidRDefault="00FB1B56" w:rsidP="00D03B0C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18"/>
          <w:szCs w:val="22"/>
          <w:lang w:val="es-AR" w:eastAsia="es-AR"/>
        </w:rPr>
      </w:pPr>
      <w:r w:rsidRPr="00BE1297">
        <w:rPr>
          <w:rFonts w:ascii="Arial" w:hAnsi="Arial" w:cs="Arial"/>
          <w:b/>
          <w:sz w:val="18"/>
          <w:szCs w:val="20"/>
        </w:rPr>
        <w:t>Tabla 1.</w:t>
      </w:r>
      <w:r w:rsidRPr="00BE1297">
        <w:rPr>
          <w:rFonts w:ascii="Arial" w:hAnsi="Arial" w:cs="Arial"/>
          <w:sz w:val="18"/>
          <w:szCs w:val="20"/>
        </w:rPr>
        <w:t xml:space="preserve"> </w:t>
      </w:r>
      <w:r w:rsidR="008E0017" w:rsidRPr="00BE1297">
        <w:rPr>
          <w:rFonts w:ascii="Arial" w:hAnsi="Arial" w:cs="Arial"/>
          <w:sz w:val="18"/>
          <w:szCs w:val="20"/>
        </w:rPr>
        <w:t>Características básicas de los sitios evaluados</w:t>
      </w:r>
      <w:r w:rsidRPr="00BE1297">
        <w:rPr>
          <w:rFonts w:ascii="Arial" w:hAnsi="Arial" w:cs="Arial"/>
          <w:sz w:val="18"/>
          <w:szCs w:val="20"/>
        </w:rPr>
        <w:t>.</w:t>
      </w:r>
      <w:r w:rsidRPr="00BE1297">
        <w:rPr>
          <w:rFonts w:ascii="Arial" w:hAnsi="Arial" w:cs="Arial"/>
          <w:iCs/>
          <w:color w:val="000000"/>
          <w:sz w:val="18"/>
          <w:szCs w:val="20"/>
        </w:rPr>
        <w:t xml:space="preserve"> Red de Nutrición Región CREA Sur de Santa Fe. </w:t>
      </w:r>
      <w:r w:rsidR="00E41D51" w:rsidRPr="00BE1297">
        <w:rPr>
          <w:rFonts w:ascii="Arial" w:hAnsi="Arial" w:cs="Arial"/>
          <w:b/>
          <w:sz w:val="18"/>
          <w:szCs w:val="20"/>
          <w:vertAlign w:val="superscript"/>
        </w:rPr>
        <w:t>†</w:t>
      </w:r>
      <w:r w:rsidR="00E41D51" w:rsidRPr="00BE1297">
        <w:rPr>
          <w:rFonts w:ascii="Arial" w:hAnsi="Arial" w:cs="Arial"/>
          <w:iCs/>
          <w:color w:val="000000"/>
          <w:sz w:val="18"/>
          <w:szCs w:val="20"/>
        </w:rPr>
        <w:t>Comenzó con soja de primera en la campaña 2001/02.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2"/>
        <w:gridCol w:w="1362"/>
        <w:gridCol w:w="1364"/>
        <w:gridCol w:w="1437"/>
        <w:gridCol w:w="1935"/>
        <w:gridCol w:w="1784"/>
      </w:tblGrid>
      <w:tr w:rsidR="00FB1B56" w:rsidRPr="008508B0" w:rsidTr="00FB1B56">
        <w:trPr>
          <w:trHeight w:val="20"/>
          <w:jc w:val="center"/>
        </w:trPr>
        <w:tc>
          <w:tcPr>
            <w:tcW w:w="1001" w:type="pct"/>
            <w:shd w:val="clear" w:color="auto" w:fill="auto"/>
            <w:vAlign w:val="center"/>
          </w:tcPr>
          <w:p w:rsidR="00D03B0C" w:rsidRPr="008508B0" w:rsidRDefault="00D03B0C" w:rsidP="0084705E">
            <w:pPr>
              <w:spacing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D03B0C" w:rsidRPr="00D03B0C" w:rsidRDefault="00D03B0C" w:rsidP="0084705E">
            <w:pPr>
              <w:spacing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B0C">
              <w:rPr>
                <w:rFonts w:ascii="Arial" w:hAnsi="Arial" w:cs="Arial"/>
                <w:b/>
                <w:sz w:val="20"/>
                <w:szCs w:val="20"/>
              </w:rPr>
              <w:t>Balducchi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3B0C" w:rsidRPr="00D03B0C" w:rsidRDefault="00D03B0C" w:rsidP="0084705E">
            <w:pPr>
              <w:spacing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B0C">
              <w:rPr>
                <w:rFonts w:ascii="Arial" w:hAnsi="Arial" w:cs="Arial"/>
                <w:b/>
                <w:sz w:val="20"/>
                <w:szCs w:val="20"/>
              </w:rPr>
              <w:t>San Alfredo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03B0C" w:rsidRPr="00D03B0C" w:rsidRDefault="00D03B0C" w:rsidP="0084705E">
            <w:pPr>
              <w:spacing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B0C">
              <w:rPr>
                <w:rFonts w:ascii="Arial" w:hAnsi="Arial" w:cs="Arial"/>
                <w:b/>
                <w:sz w:val="20"/>
                <w:szCs w:val="20"/>
              </w:rPr>
              <w:t>La Blanca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D03B0C" w:rsidRPr="00D03B0C" w:rsidRDefault="00D03B0C" w:rsidP="0084705E">
            <w:pPr>
              <w:spacing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B0C">
              <w:rPr>
                <w:rFonts w:ascii="Arial" w:hAnsi="Arial" w:cs="Arial"/>
                <w:b/>
                <w:sz w:val="20"/>
                <w:szCs w:val="20"/>
              </w:rPr>
              <w:t>La Hansa</w:t>
            </w:r>
            <w:r w:rsidR="00E41D51" w:rsidRPr="0079420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3B0C" w:rsidRPr="00D03B0C" w:rsidRDefault="00D03B0C" w:rsidP="0084705E">
            <w:pPr>
              <w:spacing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B0C">
              <w:rPr>
                <w:rFonts w:ascii="Arial" w:hAnsi="Arial" w:cs="Arial"/>
                <w:b/>
                <w:sz w:val="20"/>
                <w:szCs w:val="20"/>
              </w:rPr>
              <w:t>Lambaré</w:t>
            </w:r>
          </w:p>
        </w:tc>
      </w:tr>
      <w:tr w:rsidR="00FB1B56" w:rsidRPr="008508B0" w:rsidTr="00FB1B56">
        <w:trPr>
          <w:trHeight w:val="20"/>
          <w:jc w:val="center"/>
        </w:trPr>
        <w:tc>
          <w:tcPr>
            <w:tcW w:w="1001" w:type="pct"/>
            <w:shd w:val="clear" w:color="auto" w:fill="auto"/>
            <w:vAlign w:val="center"/>
          </w:tcPr>
          <w:p w:rsidR="00D03B0C" w:rsidRPr="008508B0" w:rsidRDefault="00D03B0C" w:rsidP="0084705E">
            <w:pPr>
              <w:spacing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CREA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D03B0C" w:rsidRPr="008508B0" w:rsidRDefault="00D03B0C" w:rsidP="0084705E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Teodelina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3B0C" w:rsidRPr="008508B0" w:rsidRDefault="00D03B0C" w:rsidP="0084705E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Isabel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03B0C" w:rsidRPr="008508B0" w:rsidRDefault="00D03B0C" w:rsidP="0084705E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Gral. Baldissera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D03B0C" w:rsidRPr="008508B0" w:rsidRDefault="00D03B0C" w:rsidP="00D03B0C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Amstrong-Montes de Oca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3B0C" w:rsidRPr="008508B0" w:rsidRDefault="00FB1B56" w:rsidP="0084705E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Jorge – Las Rosas</w:t>
            </w:r>
          </w:p>
        </w:tc>
      </w:tr>
      <w:tr w:rsidR="00FB1B56" w:rsidRPr="008508B0" w:rsidTr="00FB1B56">
        <w:trPr>
          <w:trHeight w:val="20"/>
          <w:jc w:val="center"/>
        </w:trPr>
        <w:tc>
          <w:tcPr>
            <w:tcW w:w="1001" w:type="pct"/>
            <w:shd w:val="clear" w:color="auto" w:fill="auto"/>
            <w:vAlign w:val="center"/>
          </w:tcPr>
          <w:p w:rsidR="00D03B0C" w:rsidRPr="008508B0" w:rsidRDefault="00D03B0C" w:rsidP="0084705E">
            <w:pPr>
              <w:spacing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Serie de suelo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D03B0C" w:rsidRPr="008508B0" w:rsidRDefault="00D03B0C" w:rsidP="0084705E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Isabel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3B0C" w:rsidRPr="008508B0" w:rsidRDefault="00D03B0C" w:rsidP="00D03B0C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Hughes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03B0C" w:rsidRPr="008508B0" w:rsidRDefault="00D03B0C" w:rsidP="0084705E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Bélgica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D03B0C" w:rsidRPr="008508B0" w:rsidRDefault="00D03B0C" w:rsidP="0084705E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Bustinza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3B0C" w:rsidRPr="008508B0" w:rsidRDefault="00FB1B56" w:rsidP="0084705E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Cardos</w:t>
            </w:r>
          </w:p>
        </w:tc>
      </w:tr>
      <w:tr w:rsidR="00FB1B56" w:rsidRPr="008508B0" w:rsidTr="00FB1B56">
        <w:trPr>
          <w:trHeight w:val="20"/>
          <w:jc w:val="center"/>
        </w:trPr>
        <w:tc>
          <w:tcPr>
            <w:tcW w:w="1001" w:type="pct"/>
            <w:shd w:val="clear" w:color="auto" w:fill="auto"/>
            <w:vAlign w:val="center"/>
          </w:tcPr>
          <w:p w:rsidR="00FB1B56" w:rsidRDefault="00FB1B56" w:rsidP="0084705E">
            <w:pPr>
              <w:spacing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suelo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FB1B56" w:rsidRDefault="00FB1B56" w:rsidP="0084705E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Hapudol típico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FB1B56" w:rsidRDefault="00FB1B56" w:rsidP="00962A63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Argiudol típico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FB1B56" w:rsidRDefault="00FB1B56" w:rsidP="0084705E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Hapludol típico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FB1B56" w:rsidRDefault="00FB1B56" w:rsidP="0084705E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Argiudol </w:t>
            </w:r>
          </w:p>
          <w:p w:rsidR="00FB1B56" w:rsidRDefault="00FB1B56" w:rsidP="0084705E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ácuico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FB1B56" w:rsidRDefault="00FB1B56" w:rsidP="00FB1B56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Argiudol </w:t>
            </w:r>
          </w:p>
          <w:p w:rsidR="00FB1B56" w:rsidRDefault="00FB1B56" w:rsidP="00FB1B56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típico</w:t>
            </w:r>
          </w:p>
        </w:tc>
      </w:tr>
      <w:tr w:rsidR="00FB1B56" w:rsidRPr="008508B0" w:rsidTr="00FB1B56">
        <w:trPr>
          <w:trHeight w:val="20"/>
          <w:jc w:val="center"/>
        </w:trPr>
        <w:tc>
          <w:tcPr>
            <w:tcW w:w="1001" w:type="pct"/>
            <w:shd w:val="clear" w:color="auto" w:fill="auto"/>
            <w:vAlign w:val="center"/>
          </w:tcPr>
          <w:p w:rsidR="00D03B0C" w:rsidRDefault="00D03B0C" w:rsidP="0084705E">
            <w:pPr>
              <w:spacing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Años de Agricultura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D03B0C" w:rsidRDefault="00D03B0C" w:rsidP="0084705E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+60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3B0C" w:rsidRDefault="00D03B0C" w:rsidP="00D03B0C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03B0C" w:rsidRDefault="00D03B0C" w:rsidP="0084705E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D03B0C" w:rsidRDefault="00D03B0C" w:rsidP="0084705E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3B0C" w:rsidRPr="008508B0" w:rsidRDefault="00FB1B56" w:rsidP="0084705E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03B0C" w:rsidRPr="008508B0" w:rsidTr="00FB1B56">
        <w:trPr>
          <w:trHeight w:val="20"/>
          <w:jc w:val="center"/>
        </w:trPr>
        <w:tc>
          <w:tcPr>
            <w:tcW w:w="1001" w:type="pct"/>
            <w:shd w:val="clear" w:color="auto" w:fill="auto"/>
            <w:vAlign w:val="center"/>
          </w:tcPr>
          <w:p w:rsidR="00D03B0C" w:rsidRDefault="00D03B0C" w:rsidP="0084705E">
            <w:pPr>
              <w:spacing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Rotación</w:t>
            </w:r>
          </w:p>
        </w:tc>
        <w:tc>
          <w:tcPr>
            <w:tcW w:w="1383" w:type="pct"/>
            <w:gridSpan w:val="2"/>
            <w:shd w:val="clear" w:color="auto" w:fill="auto"/>
            <w:vAlign w:val="center"/>
          </w:tcPr>
          <w:p w:rsidR="00D03B0C" w:rsidRDefault="00947FB4" w:rsidP="00CC4D71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M-T/Sj</w:t>
            </w:r>
          </w:p>
        </w:tc>
        <w:tc>
          <w:tcPr>
            <w:tcW w:w="2616" w:type="pct"/>
            <w:gridSpan w:val="3"/>
            <w:shd w:val="clear" w:color="auto" w:fill="auto"/>
            <w:vAlign w:val="center"/>
          </w:tcPr>
          <w:p w:rsidR="00D03B0C" w:rsidRPr="008508B0" w:rsidRDefault="00D03B0C" w:rsidP="0084705E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M-S</w:t>
            </w:r>
            <w:r w:rsidR="00947FB4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-T/S</w:t>
            </w:r>
            <w:r w:rsidR="00947FB4">
              <w:rPr>
                <w:rFonts w:ascii="Arial" w:hAnsi="Arial" w:cs="Arial"/>
                <w:sz w:val="20"/>
                <w:szCs w:val="20"/>
              </w:rPr>
              <w:t>j</w:t>
            </w:r>
          </w:p>
        </w:tc>
      </w:tr>
    </w:tbl>
    <w:p w:rsidR="003F15E5" w:rsidRDefault="003F15E5" w:rsidP="00A96BAD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Arial" w:eastAsia="Calibri" w:hAnsi="Arial" w:cs="Arial"/>
          <w:sz w:val="22"/>
          <w:szCs w:val="22"/>
          <w:lang w:val="es-AR" w:eastAsia="es-AR"/>
        </w:rPr>
      </w:pPr>
    </w:p>
    <w:p w:rsidR="00EC21E6" w:rsidRPr="00BE1297" w:rsidRDefault="00EC21E6" w:rsidP="00EC21E6">
      <w:pPr>
        <w:pStyle w:val="Textoindependiente"/>
        <w:spacing w:line="24" w:lineRule="atLeast"/>
        <w:jc w:val="both"/>
        <w:rPr>
          <w:rFonts w:ascii="Arial" w:hAnsi="Arial" w:cs="Arial"/>
          <w:sz w:val="18"/>
          <w:szCs w:val="20"/>
        </w:rPr>
      </w:pPr>
      <w:r w:rsidRPr="00BE1297">
        <w:rPr>
          <w:rFonts w:ascii="Arial" w:hAnsi="Arial" w:cs="Arial"/>
          <w:b/>
          <w:sz w:val="18"/>
          <w:szCs w:val="20"/>
        </w:rPr>
        <w:t xml:space="preserve">Tabla </w:t>
      </w:r>
      <w:r w:rsidR="003F15E5" w:rsidRPr="00BE1297">
        <w:rPr>
          <w:rFonts w:ascii="Arial" w:hAnsi="Arial" w:cs="Arial"/>
          <w:b/>
          <w:sz w:val="18"/>
          <w:szCs w:val="20"/>
        </w:rPr>
        <w:t>2</w:t>
      </w:r>
      <w:r w:rsidRPr="00BE1297">
        <w:rPr>
          <w:rFonts w:ascii="Arial" w:hAnsi="Arial" w:cs="Arial"/>
          <w:b/>
          <w:sz w:val="18"/>
          <w:szCs w:val="20"/>
        </w:rPr>
        <w:t>.</w:t>
      </w:r>
      <w:r w:rsidRPr="00BE1297">
        <w:rPr>
          <w:rFonts w:ascii="Arial" w:hAnsi="Arial" w:cs="Arial"/>
          <w:sz w:val="18"/>
          <w:szCs w:val="20"/>
        </w:rPr>
        <w:t xml:space="preserve"> Rangos de dosis de nutrientes aplicadas a los cultivos anualmente en los </w:t>
      </w:r>
      <w:r w:rsidR="002D1462">
        <w:rPr>
          <w:rFonts w:ascii="Arial" w:hAnsi="Arial" w:cs="Arial"/>
          <w:sz w:val="18"/>
          <w:szCs w:val="20"/>
        </w:rPr>
        <w:t>cinco</w:t>
      </w:r>
      <w:r w:rsidRPr="00BE1297">
        <w:rPr>
          <w:rFonts w:ascii="Arial" w:hAnsi="Arial" w:cs="Arial"/>
          <w:sz w:val="18"/>
          <w:szCs w:val="20"/>
        </w:rPr>
        <w:t xml:space="preserve"> tratamientos establecidos en los sitios experimentales.</w:t>
      </w:r>
      <w:r w:rsidRPr="00BE1297">
        <w:rPr>
          <w:rFonts w:ascii="Arial" w:hAnsi="Arial" w:cs="Arial"/>
          <w:iCs/>
          <w:color w:val="000000"/>
          <w:sz w:val="18"/>
          <w:szCs w:val="20"/>
        </w:rPr>
        <w:t xml:space="preserve"> Red de Nutrición Región CREA Sur de Santa Fe. Campañas 2000/01 a 2012/13.</w:t>
      </w:r>
      <w:r w:rsidR="00794200" w:rsidRPr="00BE1297">
        <w:rPr>
          <w:rFonts w:ascii="Arial" w:hAnsi="Arial" w:cs="Arial"/>
          <w:iCs/>
          <w:color w:val="000000"/>
          <w:sz w:val="18"/>
          <w:szCs w:val="20"/>
        </w:rPr>
        <w:t xml:space="preserve"> </w:t>
      </w:r>
      <w:r w:rsidR="00794200" w:rsidRPr="00BE1297">
        <w:rPr>
          <w:rFonts w:ascii="Arial" w:hAnsi="Arial" w:cs="Arial"/>
          <w:b/>
          <w:sz w:val="18"/>
          <w:szCs w:val="20"/>
          <w:vertAlign w:val="superscript"/>
        </w:rPr>
        <w:t>†</w:t>
      </w:r>
      <w:r w:rsidR="00794200" w:rsidRPr="00BE1297">
        <w:rPr>
          <w:rFonts w:ascii="Arial" w:hAnsi="Arial" w:cs="Arial"/>
          <w:iCs/>
          <w:color w:val="000000"/>
          <w:sz w:val="18"/>
          <w:szCs w:val="20"/>
        </w:rPr>
        <w:t xml:space="preserve">En los cultivos de soja no se </w:t>
      </w:r>
      <w:r w:rsidR="00962A63" w:rsidRPr="00BE1297">
        <w:rPr>
          <w:rFonts w:ascii="Arial" w:hAnsi="Arial" w:cs="Arial"/>
          <w:iCs/>
          <w:color w:val="000000"/>
          <w:sz w:val="18"/>
          <w:szCs w:val="20"/>
        </w:rPr>
        <w:t xml:space="preserve">aplica </w:t>
      </w:r>
      <w:r w:rsidR="00794200" w:rsidRPr="00BE1297">
        <w:rPr>
          <w:rFonts w:ascii="Arial" w:hAnsi="Arial" w:cs="Arial"/>
          <w:iCs/>
          <w:color w:val="000000"/>
          <w:sz w:val="18"/>
          <w:szCs w:val="20"/>
        </w:rPr>
        <w:t>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928"/>
        <w:gridCol w:w="728"/>
        <w:gridCol w:w="839"/>
        <w:gridCol w:w="839"/>
        <w:gridCol w:w="839"/>
      </w:tblGrid>
      <w:tr w:rsidR="002D1462" w:rsidRPr="008508B0" w:rsidTr="00242493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D1462" w:rsidRPr="008508B0" w:rsidRDefault="002D1462" w:rsidP="00C079B2">
            <w:pPr>
              <w:spacing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Nutriente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2D1462" w:rsidRPr="008508B0" w:rsidRDefault="002D1462" w:rsidP="00C079B2">
            <w:pPr>
              <w:spacing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8B0">
              <w:rPr>
                <w:rFonts w:ascii="Arial" w:hAnsi="Arial" w:cs="Arial"/>
                <w:b/>
                <w:sz w:val="20"/>
                <w:szCs w:val="20"/>
              </w:rPr>
              <w:t>Tratamiento</w:t>
            </w:r>
          </w:p>
        </w:tc>
      </w:tr>
      <w:tr w:rsidR="002D1462" w:rsidRPr="008508B0" w:rsidTr="00C079B2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D1462" w:rsidRPr="008508B0" w:rsidRDefault="002D1462" w:rsidP="00C079B2">
            <w:pPr>
              <w:spacing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1462" w:rsidRPr="008508B0" w:rsidRDefault="002D1462" w:rsidP="00C079B2">
            <w:pPr>
              <w:spacing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8B0">
              <w:rPr>
                <w:rFonts w:ascii="Arial" w:hAnsi="Arial" w:cs="Arial"/>
                <w:b/>
                <w:sz w:val="20"/>
                <w:szCs w:val="20"/>
              </w:rPr>
              <w:t>Testigo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462" w:rsidRPr="008508B0" w:rsidRDefault="002D1462" w:rsidP="00C079B2">
            <w:pPr>
              <w:spacing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8B0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462" w:rsidRPr="008508B0" w:rsidRDefault="002D1462" w:rsidP="00C079B2">
            <w:pPr>
              <w:spacing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8B0">
              <w:rPr>
                <w:rFonts w:ascii="Arial" w:hAnsi="Arial" w:cs="Arial"/>
                <w:b/>
                <w:sz w:val="20"/>
                <w:szCs w:val="20"/>
              </w:rPr>
              <w:t>NS</w:t>
            </w:r>
            <w:r w:rsidRPr="0079420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462" w:rsidRPr="008508B0" w:rsidRDefault="002D1462" w:rsidP="00C079B2">
            <w:pPr>
              <w:spacing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8B0">
              <w:rPr>
                <w:rFonts w:ascii="Arial" w:hAnsi="Arial" w:cs="Arial"/>
                <w:b/>
                <w:sz w:val="20"/>
                <w:szCs w:val="20"/>
              </w:rPr>
              <w:t>NP</w:t>
            </w:r>
            <w:r w:rsidRPr="0079420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462" w:rsidRPr="008508B0" w:rsidRDefault="002D1462" w:rsidP="00C079B2">
            <w:pPr>
              <w:spacing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8B0">
              <w:rPr>
                <w:rFonts w:ascii="Arial" w:hAnsi="Arial" w:cs="Arial"/>
                <w:b/>
                <w:sz w:val="20"/>
                <w:szCs w:val="20"/>
              </w:rPr>
              <w:t>NPS</w:t>
            </w:r>
            <w:r w:rsidRPr="0079420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†</w:t>
            </w:r>
          </w:p>
        </w:tc>
      </w:tr>
      <w:tr w:rsidR="002D1462" w:rsidRPr="008508B0" w:rsidTr="00C079B2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D1462" w:rsidRPr="008508B0" w:rsidRDefault="002D1462" w:rsidP="00C079B2">
            <w:pPr>
              <w:spacing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2D1462" w:rsidRPr="003318D3" w:rsidRDefault="002D1462" w:rsidP="002D1462">
            <w:pPr>
              <w:spacing w:line="24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---------------Dosis</w:t>
            </w:r>
            <w:r w:rsidRPr="003318D3">
              <w:rPr>
                <w:rFonts w:ascii="Arial" w:hAnsi="Arial" w:cs="Arial"/>
                <w:i/>
                <w:sz w:val="20"/>
                <w:szCs w:val="20"/>
              </w:rPr>
              <w:t xml:space="preserve"> (kg ha</w:t>
            </w:r>
            <w:r w:rsidRPr="003318D3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-1</w:t>
            </w:r>
            <w:r w:rsidRPr="003318D3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----------------</w:t>
            </w:r>
          </w:p>
        </w:tc>
      </w:tr>
      <w:tr w:rsidR="00EC21E6" w:rsidRPr="008508B0" w:rsidTr="00C079B2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C21E6" w:rsidRPr="008508B0" w:rsidRDefault="00EC21E6" w:rsidP="00C079B2">
            <w:pPr>
              <w:spacing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8B0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21E6" w:rsidRPr="008508B0" w:rsidRDefault="00EC21E6" w:rsidP="00C079B2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21E6" w:rsidRPr="008508B0" w:rsidRDefault="00EC21E6" w:rsidP="00C079B2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B0">
              <w:rPr>
                <w:rFonts w:ascii="Arial" w:hAnsi="Arial" w:cs="Arial"/>
                <w:sz w:val="20"/>
                <w:szCs w:val="20"/>
              </w:rPr>
              <w:t>10-20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21E6" w:rsidRPr="008508B0" w:rsidRDefault="00EC21E6" w:rsidP="00C079B2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B0">
              <w:rPr>
                <w:rFonts w:ascii="Arial" w:hAnsi="Arial" w:cs="Arial"/>
                <w:sz w:val="20"/>
                <w:szCs w:val="20"/>
              </w:rPr>
              <w:t>90-175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21E6" w:rsidRPr="008508B0" w:rsidRDefault="00EC21E6" w:rsidP="00C079B2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B0">
              <w:rPr>
                <w:rFonts w:ascii="Arial" w:hAnsi="Arial" w:cs="Arial"/>
                <w:sz w:val="20"/>
                <w:szCs w:val="20"/>
              </w:rPr>
              <w:t>90-175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21E6" w:rsidRPr="008508B0" w:rsidRDefault="00EC21E6" w:rsidP="00C079B2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B0">
              <w:rPr>
                <w:rFonts w:ascii="Arial" w:hAnsi="Arial" w:cs="Arial"/>
                <w:sz w:val="20"/>
                <w:szCs w:val="20"/>
              </w:rPr>
              <w:t>90-175</w:t>
            </w:r>
          </w:p>
        </w:tc>
      </w:tr>
      <w:tr w:rsidR="00EC21E6" w:rsidRPr="008508B0" w:rsidTr="00C079B2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C21E6" w:rsidRPr="008508B0" w:rsidRDefault="00EC21E6" w:rsidP="00C079B2">
            <w:pPr>
              <w:spacing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8B0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21E6" w:rsidRPr="008508B0" w:rsidRDefault="00EC21E6" w:rsidP="00C079B2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21E6" w:rsidRPr="008508B0" w:rsidRDefault="00EC21E6" w:rsidP="00C079B2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B0">
              <w:rPr>
                <w:rFonts w:ascii="Arial" w:hAnsi="Arial" w:cs="Arial"/>
                <w:sz w:val="20"/>
                <w:szCs w:val="20"/>
              </w:rPr>
              <w:t>20-46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21E6" w:rsidRPr="008508B0" w:rsidRDefault="00EC21E6" w:rsidP="00C079B2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21E6" w:rsidRPr="008508B0" w:rsidRDefault="00EC21E6" w:rsidP="00C079B2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B0">
              <w:rPr>
                <w:rFonts w:ascii="Arial" w:hAnsi="Arial" w:cs="Arial"/>
                <w:sz w:val="20"/>
                <w:szCs w:val="20"/>
              </w:rPr>
              <w:t>20-46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21E6" w:rsidRPr="008508B0" w:rsidRDefault="00EC21E6" w:rsidP="00C079B2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B0">
              <w:rPr>
                <w:rFonts w:ascii="Arial" w:hAnsi="Arial" w:cs="Arial"/>
                <w:sz w:val="20"/>
                <w:szCs w:val="20"/>
              </w:rPr>
              <w:t>20-46</w:t>
            </w:r>
          </w:p>
        </w:tc>
      </w:tr>
      <w:tr w:rsidR="00EC21E6" w:rsidRPr="008508B0" w:rsidTr="00C079B2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C21E6" w:rsidRPr="008508B0" w:rsidRDefault="00EC21E6" w:rsidP="00C079B2">
            <w:pPr>
              <w:spacing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8B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21E6" w:rsidRPr="008508B0" w:rsidRDefault="00EC21E6" w:rsidP="00C079B2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21E6" w:rsidRPr="008508B0" w:rsidRDefault="00EC21E6" w:rsidP="00C079B2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B0">
              <w:rPr>
                <w:rFonts w:ascii="Arial" w:hAnsi="Arial" w:cs="Arial"/>
                <w:sz w:val="20"/>
                <w:szCs w:val="20"/>
              </w:rPr>
              <w:t>17-25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21E6" w:rsidRPr="008508B0" w:rsidRDefault="00EC21E6" w:rsidP="00C079B2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B0">
              <w:rPr>
                <w:rFonts w:ascii="Arial" w:hAnsi="Arial" w:cs="Arial"/>
                <w:sz w:val="20"/>
                <w:szCs w:val="20"/>
              </w:rPr>
              <w:t>17-25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21E6" w:rsidRPr="008508B0" w:rsidRDefault="00EC21E6" w:rsidP="00C079B2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21E6" w:rsidRPr="008508B0" w:rsidRDefault="00EC21E6" w:rsidP="00C079B2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B0">
              <w:rPr>
                <w:rFonts w:ascii="Arial" w:hAnsi="Arial" w:cs="Arial"/>
                <w:sz w:val="20"/>
                <w:szCs w:val="20"/>
              </w:rPr>
              <w:t>17-25</w:t>
            </w:r>
          </w:p>
        </w:tc>
      </w:tr>
    </w:tbl>
    <w:p w:rsidR="00EC21E6" w:rsidRPr="006E371C" w:rsidRDefault="00EC21E6" w:rsidP="00A96BAD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Arial" w:eastAsia="Calibri" w:hAnsi="Arial" w:cs="Arial"/>
          <w:sz w:val="22"/>
          <w:szCs w:val="22"/>
          <w:lang w:val="es-AR" w:eastAsia="es-AR"/>
        </w:rPr>
      </w:pPr>
    </w:p>
    <w:p w:rsidR="00794200" w:rsidRPr="00BE1297" w:rsidRDefault="00CC1E2E" w:rsidP="00A96BAD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Arial" w:eastAsia="Calibri" w:hAnsi="Arial" w:cs="Arial"/>
          <w:sz w:val="22"/>
          <w:szCs w:val="22"/>
          <w:lang w:val="es-AR" w:eastAsia="es-AR"/>
        </w:rPr>
      </w:pPr>
      <w:r w:rsidRPr="00BE1297">
        <w:rPr>
          <w:rFonts w:ascii="Arial" w:eastAsia="Calibri" w:hAnsi="Arial" w:cs="Arial"/>
          <w:sz w:val="22"/>
          <w:szCs w:val="22"/>
          <w:lang w:val="es-AR" w:eastAsia="es-AR"/>
        </w:rPr>
        <w:t>Debido a la existencia de efect</w:t>
      </w:r>
      <w:r w:rsidR="00FB1B56" w:rsidRPr="00BE1297">
        <w:rPr>
          <w:rFonts w:ascii="Arial" w:eastAsia="Calibri" w:hAnsi="Arial" w:cs="Arial"/>
          <w:sz w:val="22"/>
          <w:szCs w:val="22"/>
          <w:lang w:val="es-AR" w:eastAsia="es-AR"/>
        </w:rPr>
        <w:t>o</w:t>
      </w:r>
      <w:r w:rsidR="008E0017" w:rsidRPr="00BE1297">
        <w:rPr>
          <w:rFonts w:ascii="Arial" w:eastAsia="Calibri" w:hAnsi="Arial" w:cs="Arial"/>
          <w:sz w:val="22"/>
          <w:szCs w:val="22"/>
          <w:lang w:val="es-AR" w:eastAsia="es-AR"/>
        </w:rPr>
        <w:t>s</w:t>
      </w:r>
      <w:r w:rsidR="00FB1B56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residual</w:t>
      </w:r>
      <w:r w:rsidR="008E0017" w:rsidRPr="00BE1297">
        <w:rPr>
          <w:rFonts w:ascii="Arial" w:eastAsia="Calibri" w:hAnsi="Arial" w:cs="Arial"/>
          <w:sz w:val="22"/>
          <w:szCs w:val="22"/>
          <w:lang w:val="es-AR" w:eastAsia="es-AR"/>
        </w:rPr>
        <w:t>es</w:t>
      </w:r>
      <w:r w:rsidR="00FB1B56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8E0017" w:rsidRPr="00BE1297">
        <w:rPr>
          <w:rFonts w:ascii="Arial" w:eastAsia="Calibri" w:hAnsi="Arial" w:cs="Arial"/>
          <w:sz w:val="22"/>
          <w:szCs w:val="22"/>
          <w:lang w:val="es-AR" w:eastAsia="es-AR"/>
        </w:rPr>
        <w:t>en</w:t>
      </w:r>
      <w:r w:rsidR="00FB1B56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las parcelas</w:t>
      </w:r>
      <w:r w:rsidR="00D278E9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por la historia de fertilización</w:t>
      </w:r>
      <w:r w:rsidR="00FB1B56" w:rsidRPr="00BE1297">
        <w:rPr>
          <w:rFonts w:ascii="Arial" w:eastAsia="Calibri" w:hAnsi="Arial" w:cs="Arial"/>
          <w:sz w:val="22"/>
          <w:szCs w:val="22"/>
          <w:lang w:val="es-AR" w:eastAsia="es-AR"/>
        </w:rPr>
        <w:t>, la</w:t>
      </w:r>
      <w:r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respuesta </w:t>
      </w:r>
      <w:r w:rsidR="006E371C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de los cultivos </w:t>
      </w:r>
      <w:r w:rsidR="00FB1B56" w:rsidRPr="00BE1297">
        <w:rPr>
          <w:rFonts w:ascii="Arial" w:eastAsia="Calibri" w:hAnsi="Arial" w:cs="Arial"/>
          <w:sz w:val="22"/>
          <w:szCs w:val="22"/>
          <w:lang w:val="es-AR" w:eastAsia="es-AR"/>
        </w:rPr>
        <w:t>a la fertilización</w:t>
      </w:r>
      <w:r w:rsidR="00F707C1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FB1B56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no se analizó en forma pura para cada nutriente, sino que </w:t>
      </w:r>
      <w:r w:rsidR="00B43B5C" w:rsidRPr="00BE1297">
        <w:rPr>
          <w:rFonts w:ascii="Arial" w:eastAsia="Calibri" w:hAnsi="Arial" w:cs="Arial"/>
          <w:sz w:val="22"/>
          <w:szCs w:val="22"/>
          <w:lang w:val="es-AR" w:eastAsia="es-AR"/>
        </w:rPr>
        <w:t>se evalu</w:t>
      </w:r>
      <w:r w:rsidR="00FB1B56" w:rsidRPr="00BE1297">
        <w:rPr>
          <w:rFonts w:ascii="Arial" w:eastAsia="Calibri" w:hAnsi="Arial" w:cs="Arial"/>
          <w:sz w:val="22"/>
          <w:szCs w:val="22"/>
          <w:lang w:val="es-AR" w:eastAsia="es-AR"/>
        </w:rPr>
        <w:t>ó</w:t>
      </w:r>
      <w:r w:rsidR="00B43B5C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me</w:t>
      </w:r>
      <w:r w:rsidR="006E371C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diante </w:t>
      </w:r>
      <w:r w:rsidRPr="00BE1297">
        <w:rPr>
          <w:rFonts w:ascii="Arial" w:eastAsia="Calibri" w:hAnsi="Arial" w:cs="Arial"/>
          <w:sz w:val="22"/>
          <w:szCs w:val="22"/>
          <w:lang w:val="es-AR" w:eastAsia="es-AR"/>
        </w:rPr>
        <w:t>la diferencia de producción de grano</w:t>
      </w:r>
      <w:r w:rsidR="00F61535" w:rsidRPr="00BE1297">
        <w:rPr>
          <w:rFonts w:ascii="Arial" w:eastAsia="Calibri" w:hAnsi="Arial" w:cs="Arial"/>
          <w:sz w:val="22"/>
          <w:szCs w:val="22"/>
          <w:lang w:val="es-AR" w:eastAsia="es-AR"/>
        </w:rPr>
        <w:t>s</w:t>
      </w:r>
      <w:r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(kg ha</w:t>
      </w:r>
      <w:r w:rsidRPr="00BE1297">
        <w:rPr>
          <w:rFonts w:ascii="Arial" w:eastAsia="Calibri" w:hAnsi="Arial" w:cs="Arial"/>
          <w:sz w:val="22"/>
          <w:szCs w:val="22"/>
          <w:vertAlign w:val="superscript"/>
          <w:lang w:val="es-AR" w:eastAsia="es-AR"/>
        </w:rPr>
        <w:t>-1</w:t>
      </w:r>
      <w:r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) </w:t>
      </w:r>
      <w:r w:rsidR="00F61535" w:rsidRPr="00BE1297">
        <w:rPr>
          <w:rFonts w:ascii="Arial" w:eastAsia="Calibri" w:hAnsi="Arial" w:cs="Arial"/>
          <w:sz w:val="22"/>
          <w:szCs w:val="22"/>
          <w:lang w:val="es-AR" w:eastAsia="es-AR"/>
        </w:rPr>
        <w:t>entre cada tratamiento fertilizado</w:t>
      </w:r>
      <w:r w:rsidR="00D278E9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(PS, NS, NP y NPS)</w:t>
      </w:r>
      <w:r w:rsidR="00F61535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y el </w:t>
      </w:r>
      <w:r w:rsidR="00106D90" w:rsidRPr="00BE1297">
        <w:rPr>
          <w:rFonts w:ascii="Arial" w:eastAsia="Calibri" w:hAnsi="Arial" w:cs="Arial"/>
          <w:sz w:val="22"/>
          <w:szCs w:val="22"/>
          <w:lang w:val="es-AR" w:eastAsia="es-AR"/>
        </w:rPr>
        <w:t>T</w:t>
      </w:r>
      <w:r w:rsidR="00F61535" w:rsidRPr="00BE1297">
        <w:rPr>
          <w:rFonts w:ascii="Arial" w:eastAsia="Calibri" w:hAnsi="Arial" w:cs="Arial"/>
          <w:sz w:val="22"/>
          <w:szCs w:val="22"/>
          <w:lang w:val="es-AR" w:eastAsia="es-AR"/>
        </w:rPr>
        <w:t>estigo absoluto</w:t>
      </w:r>
      <w:r w:rsidR="00D278E9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885CA7" w:rsidRPr="00BE1297">
        <w:rPr>
          <w:rFonts w:ascii="Arial" w:eastAsia="Calibri" w:hAnsi="Arial" w:cs="Arial"/>
          <w:sz w:val="22"/>
          <w:szCs w:val="22"/>
          <w:lang w:val="es-AR" w:eastAsia="es-AR"/>
        </w:rPr>
        <w:t>(Figura 1)</w:t>
      </w:r>
      <w:r w:rsidR="00F61535" w:rsidRPr="00BE1297">
        <w:rPr>
          <w:rFonts w:ascii="Arial" w:eastAsia="Calibri" w:hAnsi="Arial" w:cs="Arial"/>
          <w:sz w:val="22"/>
          <w:szCs w:val="22"/>
          <w:lang w:val="es-AR" w:eastAsia="es-AR"/>
        </w:rPr>
        <w:t>.</w:t>
      </w:r>
    </w:p>
    <w:p w:rsidR="00962A63" w:rsidRDefault="00FB1B56" w:rsidP="00A96BAD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Arial" w:eastAsia="Calibri" w:hAnsi="Arial" w:cs="Arial"/>
          <w:sz w:val="22"/>
          <w:szCs w:val="22"/>
          <w:lang w:val="es-AR" w:eastAsia="es-AR"/>
        </w:rPr>
      </w:pPr>
      <w:r>
        <w:rPr>
          <w:rFonts w:ascii="Arial" w:eastAsia="Calibri" w:hAnsi="Arial" w:cs="Arial"/>
          <w:sz w:val="22"/>
          <w:szCs w:val="22"/>
          <w:lang w:val="es-AR" w:eastAsia="es-AR"/>
        </w:rPr>
        <w:t>A partir de dichos valores, s</w:t>
      </w:r>
      <w:r w:rsidR="00B43B5C">
        <w:rPr>
          <w:rFonts w:ascii="Arial" w:eastAsia="Calibri" w:hAnsi="Arial" w:cs="Arial"/>
          <w:sz w:val="22"/>
          <w:szCs w:val="22"/>
          <w:lang w:val="es-AR" w:eastAsia="es-AR"/>
        </w:rPr>
        <w:t xml:space="preserve">e </w:t>
      </w:r>
      <w:r w:rsidR="008E0017">
        <w:rPr>
          <w:rFonts w:ascii="Arial" w:eastAsia="Calibri" w:hAnsi="Arial" w:cs="Arial"/>
          <w:sz w:val="22"/>
          <w:szCs w:val="22"/>
          <w:lang w:val="es-AR" w:eastAsia="es-AR"/>
        </w:rPr>
        <w:t>estimó</w:t>
      </w:r>
      <w:r w:rsidR="00CC1E2E">
        <w:rPr>
          <w:rFonts w:ascii="Arial" w:eastAsia="Calibri" w:hAnsi="Arial" w:cs="Arial"/>
          <w:sz w:val="22"/>
          <w:szCs w:val="22"/>
          <w:lang w:val="es-AR" w:eastAsia="es-AR"/>
        </w:rPr>
        <w:t xml:space="preserve"> el beneficio económico</w:t>
      </w:r>
      <w:r w:rsidR="00D278E9">
        <w:rPr>
          <w:rFonts w:ascii="Arial" w:eastAsia="Calibri" w:hAnsi="Arial" w:cs="Arial"/>
          <w:sz w:val="22"/>
          <w:szCs w:val="22"/>
          <w:lang w:val="es-AR" w:eastAsia="es-AR"/>
        </w:rPr>
        <w:t xml:space="preserve"> o margen</w:t>
      </w:r>
      <w:r w:rsidR="00CC1E2E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EB3FC4">
        <w:rPr>
          <w:rFonts w:ascii="Arial" w:eastAsia="Calibri" w:hAnsi="Arial" w:cs="Arial"/>
          <w:sz w:val="22"/>
          <w:szCs w:val="22"/>
          <w:lang w:val="es-AR" w:eastAsia="es-AR"/>
        </w:rPr>
        <w:t>bruto</w:t>
      </w:r>
      <w:r w:rsidR="00FF123A">
        <w:rPr>
          <w:rFonts w:ascii="Arial" w:eastAsia="Calibri" w:hAnsi="Arial" w:cs="Arial"/>
          <w:sz w:val="22"/>
          <w:szCs w:val="22"/>
          <w:lang w:val="es-AR" w:eastAsia="es-AR"/>
        </w:rPr>
        <w:t xml:space="preserve"> (MB) parcial</w:t>
      </w:r>
      <w:r w:rsidR="00EB3FC4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4A4E5D">
        <w:rPr>
          <w:rFonts w:ascii="Arial" w:eastAsia="Calibri" w:hAnsi="Arial" w:cs="Arial"/>
          <w:sz w:val="22"/>
          <w:szCs w:val="22"/>
          <w:lang w:val="es-AR" w:eastAsia="es-AR"/>
        </w:rPr>
        <w:t>por fertilización (</w:t>
      </w:r>
      <w:r w:rsidR="003B65AC">
        <w:rPr>
          <w:rFonts w:ascii="Arial" w:eastAsia="Calibri" w:hAnsi="Arial" w:cs="Arial"/>
          <w:sz w:val="22"/>
          <w:szCs w:val="22"/>
          <w:lang w:val="es-AR" w:eastAsia="es-AR"/>
        </w:rPr>
        <w:t>US$</w:t>
      </w:r>
      <w:r w:rsidR="004A4E5D">
        <w:rPr>
          <w:rFonts w:ascii="Arial" w:eastAsia="Calibri" w:hAnsi="Arial" w:cs="Arial"/>
          <w:sz w:val="22"/>
          <w:szCs w:val="22"/>
          <w:lang w:val="es-AR" w:eastAsia="es-AR"/>
        </w:rPr>
        <w:t xml:space="preserve"> ha</w:t>
      </w:r>
      <w:r w:rsidR="004A4E5D" w:rsidRPr="004A4E5D">
        <w:rPr>
          <w:rFonts w:ascii="Arial" w:eastAsia="Calibri" w:hAnsi="Arial" w:cs="Arial"/>
          <w:sz w:val="22"/>
          <w:szCs w:val="22"/>
          <w:vertAlign w:val="superscript"/>
          <w:lang w:val="es-AR" w:eastAsia="es-AR"/>
        </w:rPr>
        <w:t>-1</w:t>
      </w:r>
      <w:r w:rsidR="004A4E5D">
        <w:rPr>
          <w:rFonts w:ascii="Arial" w:eastAsia="Calibri" w:hAnsi="Arial" w:cs="Arial"/>
          <w:sz w:val="22"/>
          <w:szCs w:val="22"/>
          <w:lang w:val="es-AR" w:eastAsia="es-AR"/>
        </w:rPr>
        <w:t>)</w:t>
      </w:r>
      <w:r w:rsidR="00CC1E2E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6E371C">
        <w:rPr>
          <w:rFonts w:ascii="Arial" w:eastAsia="Calibri" w:hAnsi="Arial" w:cs="Arial"/>
          <w:sz w:val="22"/>
          <w:szCs w:val="22"/>
          <w:lang w:val="es-AR" w:eastAsia="es-AR"/>
        </w:rPr>
        <w:t>y</w:t>
      </w:r>
      <w:r w:rsidR="00F707C1" w:rsidRPr="006E371C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6E371C" w:rsidRPr="006E371C">
        <w:rPr>
          <w:rFonts w:ascii="Arial" w:eastAsia="Calibri" w:hAnsi="Arial" w:cs="Arial"/>
          <w:sz w:val="22"/>
          <w:szCs w:val="22"/>
          <w:lang w:val="es-AR" w:eastAsia="es-AR"/>
        </w:rPr>
        <w:t>el retorno de inversi</w:t>
      </w:r>
      <w:r w:rsidR="006E371C">
        <w:rPr>
          <w:rFonts w:ascii="Arial" w:eastAsia="Calibri" w:hAnsi="Arial" w:cs="Arial"/>
          <w:sz w:val="22"/>
          <w:szCs w:val="22"/>
          <w:lang w:val="es-AR" w:eastAsia="es-AR"/>
        </w:rPr>
        <w:t xml:space="preserve">ón </w:t>
      </w:r>
      <w:r w:rsidR="00F707C1" w:rsidRPr="006E371C">
        <w:rPr>
          <w:rFonts w:ascii="Arial" w:eastAsia="Calibri" w:hAnsi="Arial" w:cs="Arial"/>
          <w:sz w:val="22"/>
          <w:szCs w:val="22"/>
          <w:lang w:val="es-AR" w:eastAsia="es-AR"/>
        </w:rPr>
        <w:t>(</w:t>
      </w:r>
      <w:r w:rsidR="00FF123A">
        <w:rPr>
          <w:rFonts w:ascii="Arial" w:eastAsia="Calibri" w:hAnsi="Arial" w:cs="Arial"/>
          <w:sz w:val="22"/>
          <w:szCs w:val="22"/>
          <w:lang w:val="es-AR" w:eastAsia="es-AR"/>
        </w:rPr>
        <w:t xml:space="preserve">RI, </w:t>
      </w:r>
      <w:r w:rsidR="003B65AC">
        <w:rPr>
          <w:rFonts w:ascii="Arial" w:eastAsia="Calibri" w:hAnsi="Arial" w:cs="Arial"/>
          <w:sz w:val="22"/>
          <w:szCs w:val="22"/>
          <w:lang w:val="es-AR" w:eastAsia="es-AR"/>
        </w:rPr>
        <w:t>US$</w:t>
      </w:r>
      <w:r w:rsidR="00B43B5C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3B65AC">
        <w:rPr>
          <w:rFonts w:ascii="Arial" w:eastAsia="Calibri" w:hAnsi="Arial" w:cs="Arial"/>
          <w:sz w:val="22"/>
          <w:szCs w:val="22"/>
          <w:lang w:val="es-AR" w:eastAsia="es-AR"/>
        </w:rPr>
        <w:t>US$</w:t>
      </w:r>
      <w:r w:rsidR="00B43B5C" w:rsidRPr="00B43B5C">
        <w:rPr>
          <w:rFonts w:ascii="Arial" w:eastAsia="Calibri" w:hAnsi="Arial" w:cs="Arial"/>
          <w:sz w:val="22"/>
          <w:szCs w:val="22"/>
          <w:vertAlign w:val="superscript"/>
          <w:lang w:val="es-AR" w:eastAsia="es-AR"/>
        </w:rPr>
        <w:t>-1</w:t>
      </w:r>
      <w:r w:rsidR="00B43B5C">
        <w:rPr>
          <w:rFonts w:ascii="Arial" w:eastAsia="Calibri" w:hAnsi="Arial" w:cs="Arial"/>
          <w:sz w:val="22"/>
          <w:szCs w:val="22"/>
          <w:lang w:val="es-AR" w:eastAsia="es-AR"/>
        </w:rPr>
        <w:t xml:space="preserve"> invertido</w:t>
      </w:r>
      <w:r w:rsidR="00F707C1" w:rsidRPr="006E371C">
        <w:rPr>
          <w:rFonts w:ascii="Arial" w:eastAsia="Calibri" w:hAnsi="Arial" w:cs="Arial"/>
          <w:sz w:val="22"/>
          <w:szCs w:val="22"/>
          <w:lang w:val="es-AR" w:eastAsia="es-AR"/>
        </w:rPr>
        <w:t>) consider</w:t>
      </w:r>
      <w:r w:rsidR="006E371C">
        <w:rPr>
          <w:rFonts w:ascii="Arial" w:eastAsia="Calibri" w:hAnsi="Arial" w:cs="Arial"/>
          <w:sz w:val="22"/>
          <w:szCs w:val="22"/>
          <w:lang w:val="es-AR" w:eastAsia="es-AR"/>
        </w:rPr>
        <w:t>ando</w:t>
      </w:r>
      <w:r w:rsidR="00F707C1" w:rsidRPr="006E371C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6E371C">
        <w:rPr>
          <w:rFonts w:ascii="Arial" w:eastAsia="Calibri" w:hAnsi="Arial" w:cs="Arial"/>
          <w:sz w:val="22"/>
          <w:szCs w:val="22"/>
          <w:lang w:val="es-AR" w:eastAsia="es-AR"/>
        </w:rPr>
        <w:t xml:space="preserve">la producción de granos </w:t>
      </w:r>
      <w:r w:rsidR="00F61535">
        <w:rPr>
          <w:rFonts w:ascii="Arial" w:eastAsia="Calibri" w:hAnsi="Arial" w:cs="Arial"/>
          <w:sz w:val="22"/>
          <w:szCs w:val="22"/>
          <w:lang w:val="es-AR" w:eastAsia="es-AR"/>
        </w:rPr>
        <w:t>(kg ha</w:t>
      </w:r>
      <w:r w:rsidR="00F61535" w:rsidRPr="00F61535">
        <w:rPr>
          <w:rFonts w:ascii="Arial" w:eastAsia="Calibri" w:hAnsi="Arial" w:cs="Arial"/>
          <w:sz w:val="22"/>
          <w:szCs w:val="22"/>
          <w:vertAlign w:val="superscript"/>
          <w:lang w:val="es-AR" w:eastAsia="es-AR"/>
        </w:rPr>
        <w:t>-1</w:t>
      </w:r>
      <w:r w:rsidR="00F61535">
        <w:rPr>
          <w:rFonts w:ascii="Arial" w:eastAsia="Calibri" w:hAnsi="Arial" w:cs="Arial"/>
          <w:sz w:val="22"/>
          <w:szCs w:val="22"/>
          <w:lang w:val="es-AR" w:eastAsia="es-AR"/>
        </w:rPr>
        <w:t xml:space="preserve">) </w:t>
      </w:r>
      <w:r w:rsidR="006E371C">
        <w:rPr>
          <w:rFonts w:ascii="Arial" w:eastAsia="Calibri" w:hAnsi="Arial" w:cs="Arial"/>
          <w:sz w:val="22"/>
          <w:szCs w:val="22"/>
          <w:lang w:val="es-AR" w:eastAsia="es-AR"/>
        </w:rPr>
        <w:t>y</w:t>
      </w:r>
      <w:r w:rsidR="00F707C1" w:rsidRPr="006E371C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6E371C">
        <w:rPr>
          <w:rFonts w:ascii="Arial" w:eastAsia="Calibri" w:hAnsi="Arial" w:cs="Arial"/>
          <w:sz w:val="22"/>
          <w:szCs w:val="22"/>
          <w:lang w:val="es-AR" w:eastAsia="es-AR"/>
        </w:rPr>
        <w:t xml:space="preserve">la aplicación </w:t>
      </w:r>
      <w:r w:rsidR="00F61535">
        <w:rPr>
          <w:rFonts w:ascii="Arial" w:eastAsia="Calibri" w:hAnsi="Arial" w:cs="Arial"/>
          <w:sz w:val="22"/>
          <w:szCs w:val="22"/>
          <w:lang w:val="es-AR" w:eastAsia="es-AR"/>
        </w:rPr>
        <w:t>acumulada de N, P, y S</w:t>
      </w:r>
      <w:r w:rsidR="00794200">
        <w:rPr>
          <w:rFonts w:ascii="Arial" w:eastAsia="Calibri" w:hAnsi="Arial" w:cs="Arial"/>
          <w:sz w:val="22"/>
          <w:szCs w:val="22"/>
          <w:lang w:val="es-AR" w:eastAsia="es-AR"/>
        </w:rPr>
        <w:t xml:space="preserve"> (kg ha</w:t>
      </w:r>
      <w:r w:rsidR="00794200" w:rsidRPr="00F61535">
        <w:rPr>
          <w:rFonts w:ascii="Arial" w:eastAsia="Calibri" w:hAnsi="Arial" w:cs="Arial"/>
          <w:sz w:val="22"/>
          <w:szCs w:val="22"/>
          <w:vertAlign w:val="superscript"/>
          <w:lang w:val="es-AR" w:eastAsia="es-AR"/>
        </w:rPr>
        <w:t>-1</w:t>
      </w:r>
      <w:r w:rsidR="00794200">
        <w:rPr>
          <w:rFonts w:ascii="Arial" w:eastAsia="Calibri" w:hAnsi="Arial" w:cs="Arial"/>
          <w:sz w:val="22"/>
          <w:szCs w:val="22"/>
          <w:lang w:val="es-AR" w:eastAsia="es-AR"/>
        </w:rPr>
        <w:t>)</w:t>
      </w:r>
      <w:r w:rsidR="00AF6207">
        <w:rPr>
          <w:rFonts w:ascii="Arial" w:eastAsia="Calibri" w:hAnsi="Arial" w:cs="Arial"/>
          <w:sz w:val="22"/>
          <w:szCs w:val="22"/>
          <w:lang w:val="es-AR" w:eastAsia="es-AR"/>
        </w:rPr>
        <w:t xml:space="preserve"> entre las campañas 200/01 y 2012/13.</w:t>
      </w:r>
      <w:r w:rsidR="00B43B5C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F61535">
        <w:rPr>
          <w:rFonts w:ascii="Arial" w:eastAsia="Calibri" w:hAnsi="Arial" w:cs="Arial"/>
          <w:sz w:val="22"/>
          <w:szCs w:val="22"/>
          <w:lang w:val="es-AR" w:eastAsia="es-AR"/>
        </w:rPr>
        <w:t xml:space="preserve">El primero se estimó como la diferencia entre los ingresos </w:t>
      </w:r>
      <w:r w:rsidR="00794200">
        <w:rPr>
          <w:rFonts w:ascii="Arial" w:eastAsia="Calibri" w:hAnsi="Arial" w:cs="Arial"/>
          <w:sz w:val="22"/>
          <w:szCs w:val="22"/>
          <w:lang w:val="es-AR" w:eastAsia="es-AR"/>
        </w:rPr>
        <w:t xml:space="preserve">adicionales </w:t>
      </w:r>
      <w:r w:rsidR="00073DA1">
        <w:rPr>
          <w:rFonts w:ascii="Arial" w:eastAsia="Calibri" w:hAnsi="Arial" w:cs="Arial"/>
          <w:sz w:val="22"/>
          <w:szCs w:val="22"/>
          <w:lang w:val="es-AR" w:eastAsia="es-AR"/>
        </w:rPr>
        <w:t xml:space="preserve">por cosecha </w:t>
      </w:r>
      <w:r w:rsidR="00794200">
        <w:rPr>
          <w:rFonts w:ascii="Arial" w:eastAsia="Calibri" w:hAnsi="Arial" w:cs="Arial"/>
          <w:sz w:val="22"/>
          <w:szCs w:val="22"/>
          <w:lang w:val="es-AR" w:eastAsia="es-AR"/>
        </w:rPr>
        <w:t>-</w:t>
      </w:r>
      <w:r w:rsidR="00073DA1">
        <w:rPr>
          <w:rFonts w:ascii="Arial" w:eastAsia="Calibri" w:hAnsi="Arial" w:cs="Arial"/>
          <w:sz w:val="22"/>
          <w:szCs w:val="22"/>
          <w:lang w:val="es-AR" w:eastAsia="es-AR"/>
        </w:rPr>
        <w:t>respecto del testigo</w:t>
      </w:r>
      <w:r w:rsidR="00794200">
        <w:rPr>
          <w:rFonts w:ascii="Arial" w:eastAsia="Calibri" w:hAnsi="Arial" w:cs="Arial"/>
          <w:sz w:val="22"/>
          <w:szCs w:val="22"/>
          <w:lang w:val="es-AR" w:eastAsia="es-AR"/>
        </w:rPr>
        <w:t>-</w:t>
      </w:r>
      <w:r w:rsidR="00F61535">
        <w:rPr>
          <w:rFonts w:ascii="Arial" w:eastAsia="Calibri" w:hAnsi="Arial" w:cs="Arial"/>
          <w:sz w:val="22"/>
          <w:szCs w:val="22"/>
          <w:lang w:val="es-AR" w:eastAsia="es-AR"/>
        </w:rPr>
        <w:t xml:space="preserve"> y los costos </w:t>
      </w:r>
      <w:r w:rsidR="00073DA1">
        <w:rPr>
          <w:rFonts w:ascii="Arial" w:eastAsia="Calibri" w:hAnsi="Arial" w:cs="Arial"/>
          <w:sz w:val="22"/>
          <w:szCs w:val="22"/>
          <w:lang w:val="es-AR" w:eastAsia="es-AR"/>
        </w:rPr>
        <w:t>de</w:t>
      </w:r>
      <w:r w:rsidR="00F61535">
        <w:rPr>
          <w:rFonts w:ascii="Arial" w:eastAsia="Calibri" w:hAnsi="Arial" w:cs="Arial"/>
          <w:sz w:val="22"/>
          <w:szCs w:val="22"/>
          <w:lang w:val="es-AR" w:eastAsia="es-AR"/>
        </w:rPr>
        <w:t xml:space="preserve"> fertilización de cada tratamiento. </w:t>
      </w:r>
      <w:r w:rsidR="00073DA1">
        <w:rPr>
          <w:rFonts w:ascii="Arial" w:eastAsia="Calibri" w:hAnsi="Arial" w:cs="Arial"/>
          <w:sz w:val="22"/>
          <w:szCs w:val="22"/>
          <w:lang w:val="es-AR" w:eastAsia="es-AR"/>
        </w:rPr>
        <w:t xml:space="preserve">El segundo se calculó como el cociente entre </w:t>
      </w:r>
      <w:r w:rsidR="00106D90">
        <w:rPr>
          <w:rFonts w:ascii="Arial" w:eastAsia="Calibri" w:hAnsi="Arial" w:cs="Arial"/>
          <w:sz w:val="22"/>
          <w:szCs w:val="22"/>
          <w:lang w:val="es-AR" w:eastAsia="es-AR"/>
        </w:rPr>
        <w:t>los</w:t>
      </w:r>
      <w:r w:rsidR="00073DA1">
        <w:rPr>
          <w:rFonts w:ascii="Arial" w:eastAsia="Calibri" w:hAnsi="Arial" w:cs="Arial"/>
          <w:sz w:val="22"/>
          <w:szCs w:val="22"/>
          <w:lang w:val="es-AR" w:eastAsia="es-AR"/>
        </w:rPr>
        <w:t xml:space="preserve"> ingresos </w:t>
      </w:r>
      <w:r w:rsidR="00794200">
        <w:rPr>
          <w:rFonts w:ascii="Arial" w:eastAsia="Calibri" w:hAnsi="Arial" w:cs="Arial"/>
          <w:sz w:val="22"/>
          <w:szCs w:val="22"/>
          <w:lang w:val="es-AR" w:eastAsia="es-AR"/>
        </w:rPr>
        <w:t xml:space="preserve">adicionales </w:t>
      </w:r>
      <w:r w:rsidR="00106D90">
        <w:rPr>
          <w:rFonts w:ascii="Arial" w:eastAsia="Calibri" w:hAnsi="Arial" w:cs="Arial"/>
          <w:sz w:val="22"/>
          <w:szCs w:val="22"/>
          <w:lang w:val="es-AR" w:eastAsia="es-AR"/>
        </w:rPr>
        <w:t xml:space="preserve">acumulados </w:t>
      </w:r>
      <w:r w:rsidR="00073DA1">
        <w:rPr>
          <w:rFonts w:ascii="Arial" w:eastAsia="Calibri" w:hAnsi="Arial" w:cs="Arial"/>
          <w:sz w:val="22"/>
          <w:szCs w:val="22"/>
          <w:lang w:val="es-AR" w:eastAsia="es-AR"/>
        </w:rPr>
        <w:t xml:space="preserve">respecto del </w:t>
      </w:r>
      <w:r w:rsidR="00106D90">
        <w:rPr>
          <w:rFonts w:ascii="Arial" w:eastAsia="Calibri" w:hAnsi="Arial" w:cs="Arial"/>
          <w:sz w:val="22"/>
          <w:szCs w:val="22"/>
          <w:lang w:val="es-AR" w:eastAsia="es-AR"/>
        </w:rPr>
        <w:t>T</w:t>
      </w:r>
      <w:r w:rsidR="00FF123A">
        <w:rPr>
          <w:rFonts w:ascii="Arial" w:eastAsia="Calibri" w:hAnsi="Arial" w:cs="Arial"/>
          <w:sz w:val="22"/>
          <w:szCs w:val="22"/>
          <w:lang w:val="es-AR" w:eastAsia="es-AR"/>
        </w:rPr>
        <w:t>estigo y el costo de</w:t>
      </w:r>
      <w:r w:rsidR="00073DA1">
        <w:rPr>
          <w:rFonts w:ascii="Arial" w:eastAsia="Calibri" w:hAnsi="Arial" w:cs="Arial"/>
          <w:sz w:val="22"/>
          <w:szCs w:val="22"/>
          <w:lang w:val="es-AR" w:eastAsia="es-AR"/>
        </w:rPr>
        <w:t xml:space="preserve"> fertilización</w:t>
      </w:r>
      <w:r w:rsidR="00FF123A">
        <w:rPr>
          <w:rFonts w:ascii="Arial" w:eastAsia="Calibri" w:hAnsi="Arial" w:cs="Arial"/>
          <w:sz w:val="22"/>
          <w:szCs w:val="22"/>
          <w:lang w:val="es-AR" w:eastAsia="es-AR"/>
        </w:rPr>
        <w:t xml:space="preserve"> acumulado</w:t>
      </w:r>
      <w:r w:rsidR="00073DA1">
        <w:rPr>
          <w:rFonts w:ascii="Arial" w:eastAsia="Calibri" w:hAnsi="Arial" w:cs="Arial"/>
          <w:sz w:val="22"/>
          <w:szCs w:val="22"/>
          <w:lang w:val="es-AR" w:eastAsia="es-AR"/>
        </w:rPr>
        <w:t xml:space="preserve"> de cada tratamiento. </w:t>
      </w:r>
    </w:p>
    <w:p w:rsidR="00DC542E" w:rsidRDefault="00152729" w:rsidP="00A96BAD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Arial" w:eastAsia="Calibri" w:hAnsi="Arial" w:cs="Arial"/>
          <w:sz w:val="22"/>
          <w:szCs w:val="22"/>
          <w:lang w:val="es-AR" w:eastAsia="es-AR"/>
        </w:rPr>
      </w:pPr>
      <w:r>
        <w:rPr>
          <w:rFonts w:ascii="Arial" w:eastAsia="Calibri" w:hAnsi="Arial" w:cs="Arial"/>
          <w:sz w:val="22"/>
          <w:szCs w:val="22"/>
          <w:lang w:val="es-AR" w:eastAsia="es-AR"/>
        </w:rPr>
        <w:t>Para contemplar la</w:t>
      </w:r>
      <w:r w:rsidR="009E1A0C">
        <w:rPr>
          <w:rFonts w:ascii="Arial" w:eastAsia="Calibri" w:hAnsi="Arial" w:cs="Arial"/>
          <w:sz w:val="22"/>
          <w:szCs w:val="22"/>
          <w:lang w:val="es-AR" w:eastAsia="es-AR"/>
        </w:rPr>
        <w:t>s</w:t>
      </w: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AF6207">
        <w:rPr>
          <w:rFonts w:ascii="Arial" w:eastAsia="Calibri" w:hAnsi="Arial" w:cs="Arial"/>
          <w:sz w:val="22"/>
          <w:szCs w:val="22"/>
          <w:lang w:val="es-AR" w:eastAsia="es-AR"/>
        </w:rPr>
        <w:t>variaciones</w:t>
      </w: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 en las relaciones </w:t>
      </w:r>
      <w:proofErr w:type="spellStart"/>
      <w:r>
        <w:rPr>
          <w:rFonts w:ascii="Arial" w:eastAsia="Calibri" w:hAnsi="Arial" w:cs="Arial"/>
          <w:sz w:val="22"/>
          <w:szCs w:val="22"/>
          <w:lang w:val="es-AR" w:eastAsia="es-AR"/>
        </w:rPr>
        <w:t>grano</w:t>
      </w:r>
      <w:proofErr w:type="gramStart"/>
      <w:r>
        <w:rPr>
          <w:rFonts w:ascii="Arial" w:eastAsia="Calibri" w:hAnsi="Arial" w:cs="Arial"/>
          <w:sz w:val="22"/>
          <w:szCs w:val="22"/>
          <w:lang w:val="es-AR" w:eastAsia="es-AR"/>
        </w:rPr>
        <w:t>:fertilizante</w:t>
      </w:r>
      <w:proofErr w:type="spellEnd"/>
      <w:proofErr w:type="gramEnd"/>
      <w:r w:rsidR="00AF6207">
        <w:rPr>
          <w:rFonts w:ascii="Arial" w:eastAsia="Calibri" w:hAnsi="Arial" w:cs="Arial"/>
          <w:sz w:val="22"/>
          <w:szCs w:val="22"/>
          <w:lang w:val="es-AR" w:eastAsia="es-AR"/>
        </w:rPr>
        <w:t xml:space="preserve"> y el </w:t>
      </w:r>
      <w:r w:rsidR="00106D90">
        <w:rPr>
          <w:rFonts w:ascii="Arial" w:eastAsia="Calibri" w:hAnsi="Arial" w:cs="Arial"/>
          <w:sz w:val="22"/>
          <w:szCs w:val="22"/>
          <w:lang w:val="es-AR" w:eastAsia="es-AR"/>
        </w:rPr>
        <w:t>valor monetario</w:t>
      </w:r>
      <w:r w:rsidRPr="00152729">
        <w:rPr>
          <w:rFonts w:ascii="Arial" w:eastAsia="Calibri" w:hAnsi="Arial" w:cs="Arial"/>
          <w:sz w:val="22"/>
          <w:szCs w:val="22"/>
          <w:lang w:val="es-AR" w:eastAsia="es-AR"/>
        </w:rPr>
        <w:t>, l</w:t>
      </w:r>
      <w:r w:rsidR="006E371C" w:rsidRPr="00152729">
        <w:rPr>
          <w:rFonts w:ascii="Arial" w:eastAsia="Calibri" w:hAnsi="Arial" w:cs="Arial"/>
          <w:sz w:val="22"/>
          <w:szCs w:val="22"/>
          <w:lang w:val="es-AR" w:eastAsia="es-AR"/>
        </w:rPr>
        <w:t xml:space="preserve">os precios utilizados fueron los correspondientes </w:t>
      </w:r>
      <w:r w:rsidR="00DC542E" w:rsidRPr="00152729">
        <w:rPr>
          <w:rFonts w:ascii="Arial" w:eastAsia="Calibri" w:hAnsi="Arial" w:cs="Arial"/>
          <w:sz w:val="22"/>
          <w:szCs w:val="22"/>
          <w:lang w:val="es-AR" w:eastAsia="es-AR"/>
        </w:rPr>
        <w:t>a la serie histórica entre las campañas 200</w:t>
      </w:r>
      <w:r w:rsidR="00B07F5D">
        <w:rPr>
          <w:rFonts w:ascii="Arial" w:eastAsia="Calibri" w:hAnsi="Arial" w:cs="Arial"/>
          <w:sz w:val="22"/>
          <w:szCs w:val="22"/>
          <w:lang w:val="es-AR" w:eastAsia="es-AR"/>
        </w:rPr>
        <w:t>0/01 a 2012/13, expresados en U</w:t>
      </w:r>
      <w:r w:rsidR="00DC542E" w:rsidRPr="00152729">
        <w:rPr>
          <w:rFonts w:ascii="Arial" w:eastAsia="Calibri" w:hAnsi="Arial" w:cs="Arial"/>
          <w:sz w:val="22"/>
          <w:szCs w:val="22"/>
          <w:lang w:val="es-AR" w:eastAsia="es-AR"/>
        </w:rPr>
        <w:t>S</w:t>
      </w:r>
      <w:r w:rsidR="00B07F5D">
        <w:rPr>
          <w:rFonts w:ascii="Arial" w:eastAsia="Calibri" w:hAnsi="Arial" w:cs="Arial"/>
          <w:sz w:val="22"/>
          <w:szCs w:val="22"/>
          <w:lang w:val="es-AR" w:eastAsia="es-AR"/>
        </w:rPr>
        <w:t>$</w:t>
      </w:r>
      <w:r w:rsidR="00DC542E" w:rsidRPr="00152729">
        <w:rPr>
          <w:rFonts w:ascii="Arial" w:eastAsia="Calibri" w:hAnsi="Arial" w:cs="Arial"/>
          <w:sz w:val="22"/>
          <w:szCs w:val="22"/>
          <w:lang w:val="es-AR" w:eastAsia="es-AR"/>
        </w:rPr>
        <w:t xml:space="preserve"> constantes al 31 de Diciembre de 201</w:t>
      </w:r>
      <w:r w:rsidRPr="00152729">
        <w:rPr>
          <w:rFonts w:ascii="Arial" w:eastAsia="Calibri" w:hAnsi="Arial" w:cs="Arial"/>
          <w:sz w:val="22"/>
          <w:szCs w:val="22"/>
          <w:lang w:val="es-AR" w:eastAsia="es-AR"/>
        </w:rPr>
        <w:t>3</w:t>
      </w:r>
      <w:r w:rsidR="00B07F5D">
        <w:rPr>
          <w:rFonts w:ascii="Arial" w:eastAsia="Calibri" w:hAnsi="Arial" w:cs="Arial"/>
          <w:sz w:val="22"/>
          <w:szCs w:val="22"/>
          <w:lang w:val="es-AR" w:eastAsia="es-AR"/>
        </w:rPr>
        <w:t xml:space="preserve"> (INDEC, 2014; FMI, 2014)</w:t>
      </w:r>
      <w:r w:rsidR="00DC542E" w:rsidRPr="00152729">
        <w:rPr>
          <w:rFonts w:ascii="Arial" w:eastAsia="Calibri" w:hAnsi="Arial" w:cs="Arial"/>
          <w:sz w:val="22"/>
          <w:szCs w:val="22"/>
          <w:lang w:val="es-AR" w:eastAsia="es-AR"/>
        </w:rPr>
        <w:t>.</w:t>
      </w: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8E0017">
        <w:rPr>
          <w:rFonts w:ascii="Arial" w:eastAsia="Calibri" w:hAnsi="Arial" w:cs="Arial"/>
          <w:sz w:val="22"/>
          <w:szCs w:val="22"/>
          <w:lang w:val="es-AR" w:eastAsia="es-AR"/>
        </w:rPr>
        <w:t>Las series se elaboraron</w:t>
      </w: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 en base a las cotizaciones </w:t>
      </w:r>
      <w:r w:rsidR="00B06900">
        <w:rPr>
          <w:rFonts w:ascii="Arial" w:eastAsia="Calibri" w:hAnsi="Arial" w:cs="Arial"/>
          <w:sz w:val="22"/>
          <w:szCs w:val="22"/>
          <w:lang w:val="es-AR" w:eastAsia="es-AR"/>
        </w:rPr>
        <w:t>de granos “</w:t>
      </w:r>
      <w:r w:rsidR="00962A63">
        <w:rPr>
          <w:rFonts w:ascii="Arial" w:eastAsia="Calibri" w:hAnsi="Arial" w:cs="Arial"/>
          <w:sz w:val="22"/>
          <w:szCs w:val="22"/>
          <w:lang w:val="es-AR" w:eastAsia="es-AR"/>
        </w:rPr>
        <w:t xml:space="preserve">Rosario </w:t>
      </w:r>
      <w:r w:rsidR="00B06900">
        <w:rPr>
          <w:rFonts w:ascii="Arial" w:eastAsia="Calibri" w:hAnsi="Arial" w:cs="Arial"/>
          <w:sz w:val="22"/>
          <w:szCs w:val="22"/>
          <w:lang w:val="es-AR" w:eastAsia="es-AR"/>
        </w:rPr>
        <w:t>disponible”</w:t>
      </w:r>
      <w:r w:rsidR="00436B09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856AC2">
        <w:rPr>
          <w:rFonts w:ascii="Arial" w:eastAsia="Calibri" w:hAnsi="Arial" w:cs="Arial"/>
          <w:sz w:val="22"/>
          <w:szCs w:val="22"/>
          <w:lang w:val="es-AR" w:eastAsia="es-AR"/>
        </w:rPr>
        <w:t>y fertilizantes (</w:t>
      </w:r>
      <w:proofErr w:type="spellStart"/>
      <w:r w:rsidR="00106D90">
        <w:rPr>
          <w:rFonts w:ascii="Arial" w:eastAsia="Calibri" w:hAnsi="Arial" w:cs="Arial"/>
          <w:sz w:val="22"/>
          <w:szCs w:val="22"/>
          <w:lang w:val="es-AR" w:eastAsia="es-AR"/>
        </w:rPr>
        <w:t>Agromercado</w:t>
      </w:r>
      <w:proofErr w:type="spellEnd"/>
      <w:r w:rsidR="00856AC2">
        <w:rPr>
          <w:rFonts w:ascii="Arial" w:eastAsia="Calibri" w:hAnsi="Arial" w:cs="Arial"/>
          <w:sz w:val="22"/>
          <w:szCs w:val="22"/>
          <w:lang w:val="es-AR" w:eastAsia="es-AR"/>
        </w:rPr>
        <w:t>,</w:t>
      </w:r>
      <w:r w:rsidR="00962A63">
        <w:rPr>
          <w:rFonts w:ascii="Arial" w:eastAsia="Calibri" w:hAnsi="Arial" w:cs="Arial"/>
          <w:sz w:val="22"/>
          <w:szCs w:val="22"/>
          <w:lang w:val="es-AR" w:eastAsia="es-AR"/>
        </w:rPr>
        <w:t xml:space="preserve"> 2013</w:t>
      </w:r>
      <w:r w:rsidR="00856AC2">
        <w:rPr>
          <w:rFonts w:ascii="Arial" w:eastAsia="Calibri" w:hAnsi="Arial" w:cs="Arial"/>
          <w:sz w:val="22"/>
          <w:szCs w:val="22"/>
          <w:lang w:val="es-AR" w:eastAsia="es-AR"/>
        </w:rPr>
        <w:t>;</w:t>
      </w:r>
      <w:r w:rsidR="00436B09">
        <w:rPr>
          <w:rFonts w:ascii="Arial" w:eastAsia="Calibri" w:hAnsi="Arial" w:cs="Arial"/>
          <w:sz w:val="22"/>
          <w:szCs w:val="22"/>
          <w:lang w:val="es-AR" w:eastAsia="es-AR"/>
        </w:rPr>
        <w:t xml:space="preserve"> Márgenes Agropecuarios</w:t>
      </w:r>
      <w:r w:rsidR="00856AC2">
        <w:rPr>
          <w:rFonts w:ascii="Arial" w:eastAsia="Calibri" w:hAnsi="Arial" w:cs="Arial"/>
          <w:sz w:val="22"/>
          <w:szCs w:val="22"/>
          <w:lang w:val="es-AR" w:eastAsia="es-AR"/>
        </w:rPr>
        <w:t>,</w:t>
      </w:r>
      <w:r w:rsidR="00962A63">
        <w:rPr>
          <w:rFonts w:ascii="Arial" w:eastAsia="Calibri" w:hAnsi="Arial" w:cs="Arial"/>
          <w:sz w:val="22"/>
          <w:szCs w:val="22"/>
          <w:lang w:val="es-AR" w:eastAsia="es-AR"/>
        </w:rPr>
        <w:t xml:space="preserve"> 2013)</w:t>
      </w:r>
      <w:r w:rsidR="00856AC2">
        <w:rPr>
          <w:rFonts w:ascii="Arial" w:eastAsia="Calibri" w:hAnsi="Arial" w:cs="Arial"/>
          <w:sz w:val="22"/>
          <w:szCs w:val="22"/>
          <w:lang w:val="es-AR" w:eastAsia="es-AR"/>
        </w:rPr>
        <w:t>.</w:t>
      </w: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C670D9">
        <w:rPr>
          <w:rFonts w:ascii="Arial" w:eastAsia="Calibri" w:hAnsi="Arial" w:cs="Arial"/>
          <w:sz w:val="22"/>
          <w:szCs w:val="22"/>
          <w:lang w:val="es-AR" w:eastAsia="es-AR"/>
        </w:rPr>
        <w:t>El precio de los granos se ajustó descontando gastos de comercialización (fletes corto y largo a Rosario, secado, acopio, paritaria, zarandeo, impuestos</w:t>
      </w:r>
      <w:r w:rsidR="00FF123A">
        <w:rPr>
          <w:rFonts w:ascii="Arial" w:eastAsia="Calibri" w:hAnsi="Arial" w:cs="Arial"/>
          <w:sz w:val="22"/>
          <w:szCs w:val="22"/>
          <w:lang w:val="es-AR" w:eastAsia="es-AR"/>
        </w:rPr>
        <w:t xml:space="preserve"> y </w:t>
      </w:r>
      <w:r w:rsidR="00C670D9">
        <w:rPr>
          <w:rFonts w:ascii="Arial" w:eastAsia="Calibri" w:hAnsi="Arial" w:cs="Arial"/>
          <w:sz w:val="22"/>
          <w:szCs w:val="22"/>
          <w:lang w:val="es-AR" w:eastAsia="es-AR"/>
        </w:rPr>
        <w:t>sellado)</w:t>
      </w:r>
      <w:r w:rsidR="00856AC2">
        <w:rPr>
          <w:rFonts w:ascii="Arial" w:eastAsia="Calibri" w:hAnsi="Arial" w:cs="Arial"/>
          <w:sz w:val="22"/>
          <w:szCs w:val="22"/>
          <w:lang w:val="es-AR" w:eastAsia="es-AR"/>
        </w:rPr>
        <w:t>,</w:t>
      </w:r>
      <w:r w:rsidR="00C670D9">
        <w:rPr>
          <w:rFonts w:ascii="Arial" w:eastAsia="Calibri" w:hAnsi="Arial" w:cs="Arial"/>
          <w:sz w:val="22"/>
          <w:szCs w:val="22"/>
          <w:lang w:val="es-AR" w:eastAsia="es-AR"/>
        </w:rPr>
        <w:t xml:space="preserve"> y al costo del fertilizante se adicionó</w:t>
      </w:r>
      <w:r w:rsidR="00B07F5D">
        <w:rPr>
          <w:rFonts w:ascii="Arial" w:eastAsia="Calibri" w:hAnsi="Arial" w:cs="Arial"/>
          <w:sz w:val="22"/>
          <w:szCs w:val="22"/>
          <w:lang w:val="es-AR" w:eastAsia="es-AR"/>
        </w:rPr>
        <w:t xml:space="preserve"> el costo de aplicación y</w:t>
      </w:r>
      <w:r w:rsidR="00C670D9">
        <w:rPr>
          <w:rFonts w:ascii="Arial" w:eastAsia="Calibri" w:hAnsi="Arial" w:cs="Arial"/>
          <w:sz w:val="22"/>
          <w:szCs w:val="22"/>
          <w:lang w:val="es-AR" w:eastAsia="es-AR"/>
        </w:rPr>
        <w:t xml:space="preserve"> un interés</w:t>
      </w:r>
      <w:r w:rsidR="00856AC2">
        <w:rPr>
          <w:rFonts w:ascii="Arial" w:eastAsia="Calibri" w:hAnsi="Arial" w:cs="Arial"/>
          <w:sz w:val="22"/>
          <w:szCs w:val="22"/>
          <w:lang w:val="es-AR" w:eastAsia="es-AR"/>
        </w:rPr>
        <w:t xml:space="preserve"> por inmovilización</w:t>
      </w:r>
      <w:r w:rsidR="00C670D9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856AC2">
        <w:rPr>
          <w:rFonts w:ascii="Arial" w:eastAsia="Calibri" w:hAnsi="Arial" w:cs="Arial"/>
          <w:sz w:val="22"/>
          <w:szCs w:val="22"/>
          <w:lang w:val="es-AR" w:eastAsia="es-AR"/>
        </w:rPr>
        <w:t xml:space="preserve">igual a la tasa </w:t>
      </w:r>
      <w:r w:rsidR="00B07F5D">
        <w:rPr>
          <w:rFonts w:ascii="Arial" w:eastAsia="Calibri" w:hAnsi="Arial" w:cs="Arial"/>
          <w:sz w:val="22"/>
          <w:szCs w:val="22"/>
          <w:lang w:val="es-AR" w:eastAsia="es-AR"/>
        </w:rPr>
        <w:t xml:space="preserve">vigente </w:t>
      </w:r>
      <w:r w:rsidR="00C670D9">
        <w:rPr>
          <w:rFonts w:ascii="Arial" w:eastAsia="Calibri" w:hAnsi="Arial" w:cs="Arial"/>
          <w:sz w:val="22"/>
          <w:szCs w:val="22"/>
          <w:lang w:val="es-AR" w:eastAsia="es-AR"/>
        </w:rPr>
        <w:t>por depósito en plazo fijo</w:t>
      </w:r>
      <w:r w:rsidR="00FF123A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856AC2">
        <w:rPr>
          <w:rFonts w:ascii="Arial" w:eastAsia="Calibri" w:hAnsi="Arial" w:cs="Arial"/>
          <w:sz w:val="22"/>
          <w:szCs w:val="22"/>
          <w:lang w:val="es-AR" w:eastAsia="es-AR"/>
        </w:rPr>
        <w:t>(BCRA, 2014).</w:t>
      </w:r>
      <w:r w:rsidR="00C670D9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</w:p>
    <w:p w:rsidR="00B43B5C" w:rsidRDefault="007E1B4A" w:rsidP="00A96BAD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Arial" w:eastAsia="Calibri" w:hAnsi="Arial" w:cs="Arial"/>
          <w:sz w:val="22"/>
          <w:szCs w:val="22"/>
          <w:lang w:val="es-AR" w:eastAsia="es-AR"/>
        </w:rPr>
      </w:pPr>
      <w:r>
        <w:rPr>
          <w:rFonts w:ascii="Arial" w:eastAsia="Calibri" w:hAnsi="Arial" w:cs="Arial"/>
          <w:sz w:val="22"/>
          <w:szCs w:val="22"/>
          <w:lang w:val="es-AR" w:eastAsia="es-AR"/>
        </w:rPr>
        <w:lastRenderedPageBreak/>
        <w:t>Dentro de cada sitio, l</w:t>
      </w:r>
      <w:r w:rsidR="001049DC">
        <w:rPr>
          <w:rFonts w:ascii="Arial" w:eastAsia="Calibri" w:hAnsi="Arial" w:cs="Arial"/>
          <w:sz w:val="22"/>
          <w:szCs w:val="22"/>
          <w:lang w:val="es-AR" w:eastAsia="es-AR"/>
        </w:rPr>
        <w:t>a producción acumulada de granos</w:t>
      </w: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1049DC">
        <w:rPr>
          <w:rFonts w:ascii="Arial" w:eastAsia="Calibri" w:hAnsi="Arial" w:cs="Arial"/>
          <w:sz w:val="22"/>
          <w:szCs w:val="22"/>
          <w:lang w:val="es-AR" w:eastAsia="es-AR"/>
        </w:rPr>
        <w:t xml:space="preserve">y el retorno de inversión se </w:t>
      </w:r>
      <w:r>
        <w:rPr>
          <w:rFonts w:ascii="Arial" w:eastAsia="Calibri" w:hAnsi="Arial" w:cs="Arial"/>
          <w:sz w:val="22"/>
          <w:szCs w:val="22"/>
          <w:lang w:val="es-AR" w:eastAsia="es-AR"/>
        </w:rPr>
        <w:t>estudiaron</w:t>
      </w:r>
      <w:r w:rsidR="001049DC">
        <w:rPr>
          <w:rFonts w:ascii="Arial" w:eastAsia="Calibri" w:hAnsi="Arial" w:cs="Arial"/>
          <w:sz w:val="22"/>
          <w:szCs w:val="22"/>
          <w:lang w:val="es-AR" w:eastAsia="es-AR"/>
        </w:rPr>
        <w:t xml:space="preserve"> mediante </w:t>
      </w:r>
      <w:r>
        <w:rPr>
          <w:rFonts w:ascii="Arial" w:eastAsia="Calibri" w:hAnsi="Arial" w:cs="Arial"/>
          <w:sz w:val="22"/>
          <w:szCs w:val="22"/>
          <w:lang w:val="es-AR" w:eastAsia="es-AR"/>
        </w:rPr>
        <w:t>análisis de la varianza</w:t>
      </w:r>
      <w:r w:rsidR="001049DC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AR" w:eastAsia="es-AR"/>
        </w:rPr>
        <w:t>(</w:t>
      </w:r>
      <w:r w:rsidR="001049DC">
        <w:rPr>
          <w:rFonts w:ascii="Arial" w:eastAsia="Calibri" w:hAnsi="Arial" w:cs="Arial"/>
          <w:sz w:val="22"/>
          <w:szCs w:val="22"/>
          <w:lang w:val="es-AR" w:eastAsia="es-AR"/>
        </w:rPr>
        <w:t>ANOVA</w:t>
      </w:r>
      <w:r>
        <w:rPr>
          <w:rFonts w:ascii="Arial" w:eastAsia="Calibri" w:hAnsi="Arial" w:cs="Arial"/>
          <w:sz w:val="22"/>
          <w:szCs w:val="22"/>
          <w:lang w:val="es-AR" w:eastAsia="es-AR"/>
        </w:rPr>
        <w:t>)</w:t>
      </w:r>
      <w:r w:rsidR="001049DC">
        <w:rPr>
          <w:rFonts w:ascii="Arial" w:eastAsia="Calibri" w:hAnsi="Arial" w:cs="Arial"/>
          <w:sz w:val="22"/>
          <w:szCs w:val="22"/>
          <w:lang w:val="es-AR" w:eastAsia="es-AR"/>
        </w:rPr>
        <w:t xml:space="preserve"> y comparaciones múltiples</w:t>
      </w:r>
      <w:r w:rsidR="00AF620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1049DC">
        <w:rPr>
          <w:rFonts w:ascii="Arial" w:eastAsia="Calibri" w:hAnsi="Arial" w:cs="Arial"/>
          <w:sz w:val="22"/>
          <w:szCs w:val="22"/>
          <w:lang w:val="es-AR" w:eastAsia="es-AR"/>
        </w:rPr>
        <w:t>entre los tratamientos de fertilización</w:t>
      </w:r>
      <w:r w:rsidR="00AF6207">
        <w:rPr>
          <w:rFonts w:ascii="Arial" w:eastAsia="Calibri" w:hAnsi="Arial" w:cs="Arial"/>
          <w:sz w:val="22"/>
          <w:szCs w:val="22"/>
          <w:lang w:val="es-AR" w:eastAsia="es-AR"/>
        </w:rPr>
        <w:t xml:space="preserve"> (</w:t>
      </w:r>
      <w:proofErr w:type="spellStart"/>
      <w:r w:rsidR="00AF6207">
        <w:rPr>
          <w:rFonts w:ascii="Arial" w:eastAsia="Calibri" w:hAnsi="Arial" w:cs="Arial"/>
          <w:sz w:val="22"/>
          <w:szCs w:val="22"/>
          <w:lang w:val="es-AR" w:eastAsia="es-AR"/>
        </w:rPr>
        <w:t>Tukey</w:t>
      </w:r>
      <w:proofErr w:type="spellEnd"/>
      <w:r w:rsidR="00AF6207">
        <w:rPr>
          <w:rFonts w:ascii="Arial" w:eastAsia="Calibri" w:hAnsi="Arial" w:cs="Arial"/>
          <w:sz w:val="22"/>
          <w:szCs w:val="22"/>
          <w:lang w:val="es-AR" w:eastAsia="es-AR"/>
        </w:rPr>
        <w:t>, α=0.05)</w:t>
      </w:r>
      <w:r w:rsidR="001049DC">
        <w:rPr>
          <w:rFonts w:ascii="Arial" w:eastAsia="Calibri" w:hAnsi="Arial" w:cs="Arial"/>
          <w:sz w:val="22"/>
          <w:szCs w:val="22"/>
          <w:lang w:val="es-AR" w:eastAsia="es-AR"/>
        </w:rPr>
        <w:t xml:space="preserve">. </w:t>
      </w:r>
      <w:r w:rsidR="00B43B5C">
        <w:rPr>
          <w:rFonts w:ascii="Arial" w:eastAsia="Calibri" w:hAnsi="Arial" w:cs="Arial"/>
          <w:sz w:val="22"/>
          <w:szCs w:val="22"/>
          <w:lang w:val="es-AR" w:eastAsia="es-AR"/>
        </w:rPr>
        <w:t>E</w:t>
      </w:r>
      <w:r w:rsidR="001049DC">
        <w:rPr>
          <w:rFonts w:ascii="Arial" w:eastAsia="Calibri" w:hAnsi="Arial" w:cs="Arial"/>
          <w:sz w:val="22"/>
          <w:szCs w:val="22"/>
          <w:lang w:val="es-AR" w:eastAsia="es-AR"/>
        </w:rPr>
        <w:t>n el</w:t>
      </w:r>
      <w:r w:rsidR="00B43B5C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1049DC">
        <w:rPr>
          <w:rFonts w:ascii="Arial" w:eastAsia="Calibri" w:hAnsi="Arial" w:cs="Arial"/>
          <w:sz w:val="22"/>
          <w:szCs w:val="22"/>
          <w:lang w:val="es-AR" w:eastAsia="es-AR"/>
        </w:rPr>
        <w:t xml:space="preserve">caso del </w:t>
      </w:r>
      <w:r w:rsidR="00C72262">
        <w:rPr>
          <w:rFonts w:ascii="Arial" w:eastAsia="Calibri" w:hAnsi="Arial" w:cs="Arial"/>
          <w:sz w:val="22"/>
          <w:szCs w:val="22"/>
          <w:lang w:val="es-AR" w:eastAsia="es-AR"/>
        </w:rPr>
        <w:t>margen</w:t>
      </w:r>
      <w:r w:rsidR="00B43B5C">
        <w:rPr>
          <w:rFonts w:ascii="Arial" w:eastAsia="Calibri" w:hAnsi="Arial" w:cs="Arial"/>
          <w:sz w:val="22"/>
          <w:szCs w:val="22"/>
          <w:lang w:val="es-AR" w:eastAsia="es-AR"/>
        </w:rPr>
        <w:t xml:space="preserve"> económico acumulado</w:t>
      </w:r>
      <w:r>
        <w:rPr>
          <w:rFonts w:ascii="Arial" w:eastAsia="Calibri" w:hAnsi="Arial" w:cs="Arial"/>
          <w:sz w:val="22"/>
          <w:szCs w:val="22"/>
          <w:lang w:val="es-AR" w:eastAsia="es-AR"/>
        </w:rPr>
        <w:t>,</w:t>
      </w:r>
      <w:r w:rsidR="00B43B5C">
        <w:rPr>
          <w:rFonts w:ascii="Arial" w:eastAsia="Calibri" w:hAnsi="Arial" w:cs="Arial"/>
          <w:sz w:val="22"/>
          <w:szCs w:val="22"/>
          <w:lang w:val="es-AR" w:eastAsia="es-AR"/>
        </w:rPr>
        <w:t xml:space="preserve"> se </w:t>
      </w:r>
      <w:r w:rsidR="001049DC">
        <w:rPr>
          <w:rFonts w:ascii="Arial" w:eastAsia="Calibri" w:hAnsi="Arial" w:cs="Arial"/>
          <w:sz w:val="22"/>
          <w:szCs w:val="22"/>
          <w:lang w:val="es-AR" w:eastAsia="es-AR"/>
        </w:rPr>
        <w:t>utilizó</w:t>
      </w:r>
      <w:r w:rsidR="00B43B5C">
        <w:rPr>
          <w:rFonts w:ascii="Arial" w:eastAsia="Calibri" w:hAnsi="Arial" w:cs="Arial"/>
          <w:sz w:val="22"/>
          <w:szCs w:val="22"/>
          <w:lang w:val="es-AR" w:eastAsia="es-AR"/>
        </w:rPr>
        <w:t xml:space="preserve"> un modelo mixto de medidas repetidas en el tiempo</w:t>
      </w:r>
      <w:r w:rsidR="001049DC">
        <w:rPr>
          <w:rFonts w:ascii="Arial" w:eastAsia="Calibri" w:hAnsi="Arial" w:cs="Arial"/>
          <w:sz w:val="22"/>
          <w:szCs w:val="22"/>
          <w:lang w:val="es-AR" w:eastAsia="es-AR"/>
        </w:rPr>
        <w:t xml:space="preserve">, con una estructura de correlación </w:t>
      </w:r>
      <w:r w:rsidR="00342367">
        <w:rPr>
          <w:rFonts w:ascii="Arial" w:eastAsia="Calibri" w:hAnsi="Arial" w:cs="Arial"/>
          <w:sz w:val="22"/>
          <w:szCs w:val="22"/>
          <w:lang w:val="es-AR" w:eastAsia="es-AR"/>
        </w:rPr>
        <w:t>AR</w:t>
      </w:r>
      <w:r w:rsidR="001049DC">
        <w:rPr>
          <w:rFonts w:ascii="Arial" w:eastAsia="Calibri" w:hAnsi="Arial" w:cs="Arial"/>
          <w:sz w:val="22"/>
          <w:szCs w:val="22"/>
          <w:lang w:val="es-AR" w:eastAsia="es-AR"/>
        </w:rPr>
        <w:t xml:space="preserve">1. </w:t>
      </w:r>
      <w:r w:rsidR="003F15E5">
        <w:rPr>
          <w:rFonts w:ascii="Arial" w:eastAsia="Calibri" w:hAnsi="Arial" w:cs="Arial"/>
          <w:sz w:val="22"/>
          <w:szCs w:val="22"/>
          <w:lang w:val="es-AR" w:eastAsia="es-AR"/>
        </w:rPr>
        <w:t xml:space="preserve">Los análisis estadísticos se realizaron mediante el paquete </w:t>
      </w:r>
      <w:proofErr w:type="spellStart"/>
      <w:r w:rsidR="003F15E5">
        <w:rPr>
          <w:rFonts w:ascii="Arial" w:eastAsia="Calibri" w:hAnsi="Arial" w:cs="Arial"/>
          <w:sz w:val="22"/>
          <w:szCs w:val="22"/>
          <w:lang w:val="es-AR" w:eastAsia="es-AR"/>
        </w:rPr>
        <w:t>Infostat</w:t>
      </w:r>
      <w:proofErr w:type="spellEnd"/>
      <w:r w:rsidR="003F15E5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C72262">
        <w:rPr>
          <w:rFonts w:ascii="Arial" w:eastAsia="Calibri" w:hAnsi="Arial" w:cs="Arial"/>
          <w:sz w:val="22"/>
          <w:szCs w:val="22"/>
          <w:lang w:val="es-AR" w:eastAsia="es-AR"/>
        </w:rPr>
        <w:t xml:space="preserve">versión 2013 </w:t>
      </w:r>
      <w:r w:rsidR="003F15E5">
        <w:rPr>
          <w:rFonts w:ascii="Arial" w:eastAsia="Calibri" w:hAnsi="Arial" w:cs="Arial"/>
          <w:sz w:val="22"/>
          <w:szCs w:val="22"/>
          <w:lang w:val="es-AR" w:eastAsia="es-AR"/>
        </w:rPr>
        <w:t xml:space="preserve">(Di </w:t>
      </w:r>
      <w:proofErr w:type="spellStart"/>
      <w:r w:rsidR="00962A63">
        <w:rPr>
          <w:rFonts w:ascii="Arial" w:eastAsia="Calibri" w:hAnsi="Arial" w:cs="Arial"/>
          <w:sz w:val="22"/>
          <w:szCs w:val="22"/>
          <w:lang w:val="es-AR" w:eastAsia="es-AR"/>
        </w:rPr>
        <w:t>R</w:t>
      </w:r>
      <w:r w:rsidR="003F15E5">
        <w:rPr>
          <w:rFonts w:ascii="Arial" w:eastAsia="Calibri" w:hAnsi="Arial" w:cs="Arial"/>
          <w:sz w:val="22"/>
          <w:szCs w:val="22"/>
          <w:lang w:val="es-AR" w:eastAsia="es-AR"/>
        </w:rPr>
        <w:t>ienzo</w:t>
      </w:r>
      <w:proofErr w:type="spellEnd"/>
      <w:r w:rsidR="003F15E5">
        <w:rPr>
          <w:rFonts w:ascii="Arial" w:eastAsia="Calibri" w:hAnsi="Arial" w:cs="Arial"/>
          <w:sz w:val="22"/>
          <w:szCs w:val="22"/>
          <w:lang w:val="es-AR" w:eastAsia="es-AR"/>
        </w:rPr>
        <w:t xml:space="preserve"> et al., 201</w:t>
      </w:r>
      <w:r w:rsidR="00C72262">
        <w:rPr>
          <w:rFonts w:ascii="Arial" w:eastAsia="Calibri" w:hAnsi="Arial" w:cs="Arial"/>
          <w:sz w:val="22"/>
          <w:szCs w:val="22"/>
          <w:lang w:val="es-AR" w:eastAsia="es-AR"/>
        </w:rPr>
        <w:t>3</w:t>
      </w:r>
      <w:r w:rsidR="003F15E5">
        <w:rPr>
          <w:rFonts w:ascii="Arial" w:eastAsia="Calibri" w:hAnsi="Arial" w:cs="Arial"/>
          <w:sz w:val="22"/>
          <w:szCs w:val="22"/>
          <w:lang w:val="es-AR" w:eastAsia="es-AR"/>
        </w:rPr>
        <w:t>).</w:t>
      </w:r>
    </w:p>
    <w:p w:rsidR="00A96BAD" w:rsidRPr="00A96BAD" w:rsidRDefault="00A96BAD" w:rsidP="00F707C1">
      <w:pPr>
        <w:autoSpaceDE w:val="0"/>
        <w:autoSpaceDN w:val="0"/>
        <w:adjustRightInd w:val="0"/>
        <w:spacing w:line="288" w:lineRule="auto"/>
        <w:outlineLvl w:val="0"/>
        <w:rPr>
          <w:rFonts w:ascii="Arial" w:eastAsia="Calibri" w:hAnsi="Arial" w:cs="Arial"/>
          <w:sz w:val="22"/>
          <w:szCs w:val="22"/>
          <w:lang w:val="es-AR" w:eastAsia="es-AR"/>
        </w:rPr>
      </w:pPr>
    </w:p>
    <w:p w:rsidR="004F501E" w:rsidRPr="0027482F" w:rsidRDefault="004F501E" w:rsidP="004F501E">
      <w:pPr>
        <w:autoSpaceDE w:val="0"/>
        <w:autoSpaceDN w:val="0"/>
        <w:adjustRightInd w:val="0"/>
        <w:spacing w:line="288" w:lineRule="auto"/>
        <w:ind w:left="1644" w:hanging="1644"/>
        <w:outlineLvl w:val="0"/>
        <w:rPr>
          <w:rFonts w:ascii="Arial" w:hAnsi="Arial" w:cs="Arial"/>
          <w:b/>
          <w:bCs/>
          <w:lang w:val="es-AR"/>
        </w:rPr>
      </w:pPr>
      <w:r w:rsidRPr="0027482F">
        <w:rPr>
          <w:rFonts w:ascii="Arial" w:hAnsi="Arial" w:cs="Arial"/>
          <w:b/>
          <w:bCs/>
          <w:lang w:val="es-AR"/>
        </w:rPr>
        <w:t>RESULTADOS Y DISCUSIÓN</w:t>
      </w:r>
    </w:p>
    <w:p w:rsidR="00384071" w:rsidRPr="00384071" w:rsidRDefault="00384071" w:rsidP="008C31F7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Arial" w:eastAsia="Calibri" w:hAnsi="Arial" w:cs="Arial"/>
          <w:i/>
          <w:sz w:val="22"/>
          <w:szCs w:val="22"/>
          <w:lang w:val="es-AR" w:eastAsia="es-AR"/>
        </w:rPr>
      </w:pPr>
      <w:r w:rsidRPr="00384071">
        <w:rPr>
          <w:rFonts w:ascii="Arial" w:eastAsia="Calibri" w:hAnsi="Arial" w:cs="Arial"/>
          <w:i/>
          <w:sz w:val="22"/>
          <w:szCs w:val="22"/>
          <w:lang w:val="es-AR" w:eastAsia="es-AR"/>
        </w:rPr>
        <w:t>Produc</w:t>
      </w:r>
      <w:r>
        <w:rPr>
          <w:rFonts w:ascii="Arial" w:eastAsia="Calibri" w:hAnsi="Arial" w:cs="Arial"/>
          <w:i/>
          <w:sz w:val="22"/>
          <w:szCs w:val="22"/>
          <w:lang w:val="es-AR" w:eastAsia="es-AR"/>
        </w:rPr>
        <w:t>ción de granos</w:t>
      </w:r>
    </w:p>
    <w:p w:rsidR="008C31F7" w:rsidRPr="00BE1297" w:rsidRDefault="00AF02CD" w:rsidP="008C31F7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Arial" w:eastAsia="Calibri" w:hAnsi="Arial" w:cs="Arial"/>
          <w:sz w:val="22"/>
          <w:szCs w:val="22"/>
          <w:lang w:val="es-AR" w:eastAsia="es-AR"/>
        </w:rPr>
      </w:pP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La producción acumulada de granos de maíz, </w:t>
      </w:r>
      <w:r w:rsidRPr="00BE1297">
        <w:rPr>
          <w:rFonts w:ascii="Arial" w:eastAsia="Calibri" w:hAnsi="Arial" w:cs="Arial"/>
          <w:sz w:val="22"/>
          <w:szCs w:val="22"/>
          <w:lang w:val="es-AR" w:eastAsia="es-AR"/>
        </w:rPr>
        <w:t>trigo y soja, mostró importantes variaciones en función de</w:t>
      </w:r>
      <w:r w:rsidR="00D459DB" w:rsidRPr="00BE1297">
        <w:rPr>
          <w:rFonts w:ascii="Arial" w:eastAsia="Calibri" w:hAnsi="Arial" w:cs="Arial"/>
          <w:sz w:val="22"/>
          <w:szCs w:val="22"/>
          <w:lang w:val="es-AR" w:eastAsia="es-AR"/>
        </w:rPr>
        <w:t>l sitio y</w:t>
      </w:r>
      <w:r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los tratamientos</w:t>
      </w:r>
      <w:r w:rsidR="00D459DB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de fertilización </w:t>
      </w:r>
      <w:r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(Figura 1). </w:t>
      </w:r>
      <w:r w:rsidR="000D041C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Estas variaciones entre sitios en cuanto a respuestas a N, P y/o S, dependieron de la disponibilidad de nutrientes en el suelo, la historia del lote y el nivel de rendimiento de los cultivos (García et al., 2010). </w:t>
      </w:r>
      <w:r w:rsidR="008C31F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En </w:t>
      </w:r>
      <w:r w:rsidR="00856AC2">
        <w:rPr>
          <w:rFonts w:ascii="Arial" w:eastAsia="Calibri" w:hAnsi="Arial" w:cs="Arial"/>
          <w:sz w:val="22"/>
          <w:szCs w:val="22"/>
          <w:lang w:val="es-AR" w:eastAsia="es-AR"/>
        </w:rPr>
        <w:t>general,</w:t>
      </w:r>
      <w:r w:rsidR="008C31F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l</w:t>
      </w:r>
      <w:r w:rsidR="00856AC2">
        <w:rPr>
          <w:rFonts w:ascii="Arial" w:eastAsia="Calibri" w:hAnsi="Arial" w:cs="Arial"/>
          <w:sz w:val="22"/>
          <w:szCs w:val="22"/>
          <w:lang w:val="es-AR" w:eastAsia="es-AR"/>
        </w:rPr>
        <w:t>os</w:t>
      </w:r>
      <w:r w:rsidR="008C31F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cultivo</w:t>
      </w:r>
      <w:r w:rsidR="00856AC2">
        <w:rPr>
          <w:rFonts w:ascii="Arial" w:eastAsia="Calibri" w:hAnsi="Arial" w:cs="Arial"/>
          <w:sz w:val="22"/>
          <w:szCs w:val="22"/>
          <w:lang w:val="es-AR" w:eastAsia="es-AR"/>
        </w:rPr>
        <w:t>s</w:t>
      </w:r>
      <w:r w:rsidR="008C31F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que más respuesta a la fertilización manifest</w:t>
      </w:r>
      <w:r w:rsidR="00856AC2">
        <w:rPr>
          <w:rFonts w:ascii="Arial" w:eastAsia="Calibri" w:hAnsi="Arial" w:cs="Arial"/>
          <w:sz w:val="22"/>
          <w:szCs w:val="22"/>
          <w:lang w:val="es-AR" w:eastAsia="es-AR"/>
        </w:rPr>
        <w:t>aron</w:t>
      </w:r>
      <w:r w:rsidR="008C31F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fue</w:t>
      </w:r>
      <w:r w:rsidR="00856AC2">
        <w:rPr>
          <w:rFonts w:ascii="Arial" w:eastAsia="Calibri" w:hAnsi="Arial" w:cs="Arial"/>
          <w:sz w:val="22"/>
          <w:szCs w:val="22"/>
          <w:lang w:val="es-AR" w:eastAsia="es-AR"/>
        </w:rPr>
        <w:t>ron</w:t>
      </w:r>
      <w:r w:rsidR="008C31F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856AC2">
        <w:rPr>
          <w:rFonts w:ascii="Arial" w:eastAsia="Calibri" w:hAnsi="Arial" w:cs="Arial"/>
          <w:sz w:val="22"/>
          <w:szCs w:val="22"/>
          <w:lang w:val="es-AR" w:eastAsia="es-AR"/>
        </w:rPr>
        <w:t xml:space="preserve">trigo y </w:t>
      </w:r>
      <w:r w:rsidR="008C31F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maíz </w:t>
      </w:r>
      <w:r w:rsidR="00856AC2">
        <w:rPr>
          <w:rFonts w:ascii="Arial" w:eastAsia="Calibri" w:hAnsi="Arial" w:cs="Arial"/>
          <w:sz w:val="22"/>
          <w:szCs w:val="22"/>
          <w:lang w:val="es-AR" w:eastAsia="es-AR"/>
        </w:rPr>
        <w:t>y</w:t>
      </w:r>
      <w:r w:rsidR="00D179B7" w:rsidRPr="00BE1297">
        <w:rPr>
          <w:rFonts w:ascii="Arial" w:eastAsia="Calibri" w:hAnsi="Arial" w:cs="Arial"/>
          <w:sz w:val="22"/>
          <w:szCs w:val="22"/>
          <w:lang w:val="es-AR" w:eastAsia="es-AR"/>
        </w:rPr>
        <w:t>,</w:t>
      </w:r>
      <w:r w:rsidR="00856AC2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8C31F7" w:rsidRPr="00BE1297">
        <w:rPr>
          <w:rFonts w:ascii="Arial" w:eastAsia="Calibri" w:hAnsi="Arial" w:cs="Arial"/>
          <w:sz w:val="22"/>
          <w:szCs w:val="22"/>
          <w:lang w:val="es-AR" w:eastAsia="es-AR"/>
        </w:rPr>
        <w:t>en menor medida</w:t>
      </w:r>
      <w:r w:rsidR="00962A63" w:rsidRPr="00BE1297">
        <w:rPr>
          <w:rFonts w:ascii="Arial" w:eastAsia="Calibri" w:hAnsi="Arial" w:cs="Arial"/>
          <w:sz w:val="22"/>
          <w:szCs w:val="22"/>
          <w:lang w:val="es-AR" w:eastAsia="es-AR"/>
        </w:rPr>
        <w:t>,</w:t>
      </w:r>
      <w:r w:rsidR="008C31F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soja de segunda. En contraparte, la soja de primera fue el cultivo que registró los menores efectos del manejo de la nutrición.</w:t>
      </w:r>
      <w:r w:rsidR="00106978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</w:p>
    <w:p w:rsidR="00805B3A" w:rsidRPr="00BE1297" w:rsidRDefault="007E1B4A" w:rsidP="00312CE7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Arial" w:eastAsia="Calibri" w:hAnsi="Arial" w:cs="Arial"/>
          <w:sz w:val="22"/>
          <w:szCs w:val="22"/>
          <w:lang w:val="es-AR" w:eastAsia="es-AR"/>
        </w:rPr>
      </w:pPr>
      <w:r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En todos </w:t>
      </w:r>
      <w:r w:rsidR="008C31F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los </w:t>
      </w:r>
      <w:r w:rsidR="00856AC2">
        <w:rPr>
          <w:rFonts w:ascii="Arial" w:eastAsia="Calibri" w:hAnsi="Arial" w:cs="Arial"/>
          <w:sz w:val="22"/>
          <w:szCs w:val="22"/>
          <w:lang w:val="es-AR" w:eastAsia="es-AR"/>
        </w:rPr>
        <w:t>sitios</w:t>
      </w:r>
      <w:r w:rsidRPr="00BE1297">
        <w:rPr>
          <w:rFonts w:ascii="Arial" w:eastAsia="Calibri" w:hAnsi="Arial" w:cs="Arial"/>
          <w:sz w:val="22"/>
          <w:szCs w:val="22"/>
          <w:lang w:val="es-AR" w:eastAsia="es-AR"/>
        </w:rPr>
        <w:t>, los mayores niveles de producción se alcanz</w:t>
      </w:r>
      <w:r w:rsidR="008C31F7" w:rsidRPr="00BE1297">
        <w:rPr>
          <w:rFonts w:ascii="Arial" w:eastAsia="Calibri" w:hAnsi="Arial" w:cs="Arial"/>
          <w:sz w:val="22"/>
          <w:szCs w:val="22"/>
          <w:lang w:val="es-AR" w:eastAsia="es-AR"/>
        </w:rPr>
        <w:t>aron con el tratamiento NPS y lo</w:t>
      </w:r>
      <w:r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s </w:t>
      </w:r>
      <w:r w:rsidR="008C31F7" w:rsidRPr="00BE1297">
        <w:rPr>
          <w:rFonts w:ascii="Arial" w:eastAsia="Calibri" w:hAnsi="Arial" w:cs="Arial"/>
          <w:sz w:val="22"/>
          <w:szCs w:val="22"/>
          <w:lang w:val="es-AR" w:eastAsia="es-AR"/>
        </w:rPr>
        <w:t>más bajos</w:t>
      </w:r>
      <w:r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con </w:t>
      </w:r>
      <w:r w:rsidR="00E41D51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el </w:t>
      </w:r>
      <w:r w:rsidR="008C31F7" w:rsidRPr="00BE1297">
        <w:rPr>
          <w:rFonts w:ascii="Arial" w:eastAsia="Calibri" w:hAnsi="Arial" w:cs="Arial"/>
          <w:sz w:val="22"/>
          <w:szCs w:val="22"/>
          <w:lang w:val="es-AR" w:eastAsia="es-AR"/>
        </w:rPr>
        <w:t>Testigo</w:t>
      </w:r>
      <w:r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. </w:t>
      </w:r>
      <w:r w:rsidR="00AF02CD" w:rsidRPr="00BE1297">
        <w:rPr>
          <w:rFonts w:ascii="Arial" w:eastAsia="Calibri" w:hAnsi="Arial" w:cs="Arial"/>
          <w:sz w:val="22"/>
          <w:szCs w:val="22"/>
          <w:lang w:val="es-AR" w:eastAsia="es-AR"/>
        </w:rPr>
        <w:t>Las diferencias más importantes se</w:t>
      </w:r>
      <w:r w:rsidR="003F15E5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observaron en el sitio Balducchi</w:t>
      </w:r>
      <w:r w:rsidR="00AF02CD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106D90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donde el </w:t>
      </w:r>
      <w:r w:rsidR="00D459DB" w:rsidRPr="00BE1297">
        <w:rPr>
          <w:rFonts w:ascii="Arial" w:eastAsia="Calibri" w:hAnsi="Arial" w:cs="Arial"/>
          <w:sz w:val="22"/>
          <w:szCs w:val="22"/>
          <w:lang w:val="es-AR" w:eastAsia="es-AR"/>
        </w:rPr>
        <w:t>T</w:t>
      </w:r>
      <w:r w:rsidR="00106D90" w:rsidRPr="00BE1297">
        <w:rPr>
          <w:rFonts w:ascii="Arial" w:eastAsia="Calibri" w:hAnsi="Arial" w:cs="Arial"/>
          <w:sz w:val="22"/>
          <w:szCs w:val="22"/>
          <w:lang w:val="es-AR" w:eastAsia="es-AR"/>
        </w:rPr>
        <w:t>estigo</w:t>
      </w:r>
      <w:r w:rsidR="00D459DB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registró una producción acumulada de </w:t>
      </w:r>
      <w:r w:rsidR="00312CE7" w:rsidRPr="00BE1297">
        <w:rPr>
          <w:rFonts w:ascii="Arial" w:eastAsia="Calibri" w:hAnsi="Arial" w:cs="Arial"/>
          <w:sz w:val="22"/>
          <w:szCs w:val="22"/>
          <w:lang w:val="es-AR" w:eastAsia="es-AR"/>
        </w:rPr>
        <w:t>53.9 t respecto de</w:t>
      </w:r>
      <w:r w:rsidR="00802E26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las</w:t>
      </w:r>
      <w:r w:rsidR="00312CE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118.5 t del tratamiento NPS</w:t>
      </w:r>
      <w:r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(+119%). </w:t>
      </w:r>
      <w:r w:rsidR="00802E26" w:rsidRPr="00BE1297">
        <w:rPr>
          <w:rFonts w:ascii="Arial" w:eastAsia="Calibri" w:hAnsi="Arial" w:cs="Arial"/>
          <w:sz w:val="22"/>
          <w:szCs w:val="22"/>
          <w:lang w:val="es-AR" w:eastAsia="es-AR"/>
        </w:rPr>
        <w:t>En contraste, las diferencias más atenuadas se registraron en el sitio Lambaré, donde el tratamiento NPS no se diferenció de NS y NP, y resultó 27% y 10% superior a los tratamientos T</w:t>
      </w:r>
      <w:r w:rsidR="00106D90" w:rsidRPr="00BE1297">
        <w:rPr>
          <w:rFonts w:ascii="Arial" w:eastAsia="Calibri" w:hAnsi="Arial" w:cs="Arial"/>
          <w:sz w:val="22"/>
          <w:szCs w:val="22"/>
          <w:lang w:val="es-AR" w:eastAsia="es-AR"/>
        </w:rPr>
        <w:t>estigo</w:t>
      </w:r>
      <w:r w:rsidR="00802E26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y PS, respectivamente. Este comportamiento contrastante se atribuye a que el primer sitio es aquel que documenta la </w:t>
      </w:r>
      <w:r w:rsidR="00D21D43" w:rsidRPr="00BE1297">
        <w:rPr>
          <w:rFonts w:ascii="Arial" w:eastAsia="Calibri" w:hAnsi="Arial" w:cs="Arial"/>
          <w:sz w:val="22"/>
          <w:szCs w:val="22"/>
          <w:lang w:val="es-AR" w:eastAsia="es-AR"/>
        </w:rPr>
        <w:t>más</w:t>
      </w:r>
      <w:r w:rsidR="00802E26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prolongada historia de agricultura continua previa a los ensayos (más de 60 años), mientras que el último documenta una historia de rotación agrícola-ganadera más reciente. Esta condición se refleja en los análisis de suelos de cada sitio, donde se observa que Balducchi y Lambaré </w:t>
      </w:r>
      <w:r w:rsidR="00FF718E" w:rsidRPr="00BE1297">
        <w:rPr>
          <w:rFonts w:ascii="Arial" w:eastAsia="Calibri" w:hAnsi="Arial" w:cs="Arial"/>
          <w:sz w:val="22"/>
          <w:szCs w:val="22"/>
          <w:lang w:val="es-AR" w:eastAsia="es-AR"/>
        </w:rPr>
        <w:t>fueron los sitios</w:t>
      </w:r>
      <w:r w:rsidR="00962A63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de la red</w:t>
      </w:r>
      <w:r w:rsidR="00FF718E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más y </w:t>
      </w:r>
      <w:r w:rsidR="00D21D43" w:rsidRPr="00BE1297">
        <w:rPr>
          <w:rFonts w:ascii="Arial" w:eastAsia="Calibri" w:hAnsi="Arial" w:cs="Arial"/>
          <w:sz w:val="22"/>
          <w:szCs w:val="22"/>
          <w:lang w:val="es-AR" w:eastAsia="es-AR"/>
        </w:rPr>
        <w:t>menos d</w:t>
      </w:r>
      <w:r w:rsidR="00FF718E" w:rsidRPr="00BE1297">
        <w:rPr>
          <w:rFonts w:ascii="Arial" w:eastAsia="Calibri" w:hAnsi="Arial" w:cs="Arial"/>
          <w:sz w:val="22"/>
          <w:szCs w:val="22"/>
          <w:lang w:val="es-AR" w:eastAsia="es-AR"/>
        </w:rPr>
        <w:t>egradados, respectivamente</w:t>
      </w:r>
      <w:r w:rsidR="00D21D43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802E26" w:rsidRPr="00BE1297">
        <w:rPr>
          <w:rFonts w:ascii="Arial" w:eastAsia="Calibri" w:hAnsi="Arial" w:cs="Arial"/>
          <w:sz w:val="22"/>
          <w:szCs w:val="22"/>
          <w:lang w:val="es-AR" w:eastAsia="es-AR"/>
        </w:rPr>
        <w:t>(García et al., 2010).</w:t>
      </w:r>
    </w:p>
    <w:p w:rsidR="00F76380" w:rsidRDefault="00805B3A" w:rsidP="00312CE7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Arial" w:eastAsia="Calibri" w:hAnsi="Arial" w:cs="Arial"/>
          <w:sz w:val="22"/>
          <w:szCs w:val="22"/>
          <w:lang w:val="es-AR" w:eastAsia="es-AR"/>
        </w:rPr>
      </w:pPr>
      <w:r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En los sitios en rotación </w:t>
      </w:r>
      <w:r w:rsidR="00947FB4" w:rsidRPr="00BE1297">
        <w:rPr>
          <w:rFonts w:ascii="Arial" w:eastAsia="Calibri" w:hAnsi="Arial" w:cs="Arial"/>
          <w:sz w:val="22"/>
          <w:szCs w:val="22"/>
          <w:lang w:val="es-AR" w:eastAsia="es-AR"/>
        </w:rPr>
        <w:t>M-T/</w:t>
      </w:r>
      <w:proofErr w:type="spellStart"/>
      <w:r w:rsidR="00947FB4" w:rsidRPr="00BE1297">
        <w:rPr>
          <w:rFonts w:ascii="Arial" w:eastAsia="Calibri" w:hAnsi="Arial" w:cs="Arial"/>
          <w:sz w:val="22"/>
          <w:szCs w:val="22"/>
          <w:lang w:val="es-AR" w:eastAsia="es-AR"/>
        </w:rPr>
        <w:t>S</w:t>
      </w:r>
      <w:r w:rsidR="005C78B1" w:rsidRPr="00BE1297">
        <w:rPr>
          <w:rFonts w:ascii="Arial" w:eastAsia="Calibri" w:hAnsi="Arial" w:cs="Arial"/>
          <w:sz w:val="22"/>
          <w:szCs w:val="22"/>
          <w:lang w:val="es-AR" w:eastAsia="es-AR"/>
        </w:rPr>
        <w:t>j</w:t>
      </w:r>
      <w:proofErr w:type="spellEnd"/>
      <w:r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, </w:t>
      </w:r>
      <w:r w:rsidR="00F76380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los rendimientos sin limitaciones nutricionales (NPS) fueron </w:t>
      </w:r>
      <w:r w:rsidR="00117D03" w:rsidRPr="00BE1297">
        <w:rPr>
          <w:rFonts w:ascii="Arial" w:eastAsia="Calibri" w:hAnsi="Arial" w:cs="Arial"/>
          <w:sz w:val="22"/>
          <w:szCs w:val="22"/>
          <w:lang w:val="es-AR" w:eastAsia="es-AR"/>
        </w:rPr>
        <w:t>mayores en San Alfredo</w:t>
      </w:r>
      <w:r w:rsidR="00F76380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, </w:t>
      </w:r>
      <w:r w:rsidR="008232D0" w:rsidRPr="00BE1297">
        <w:rPr>
          <w:rFonts w:ascii="Arial" w:eastAsia="Calibri" w:hAnsi="Arial" w:cs="Arial"/>
          <w:sz w:val="22"/>
          <w:szCs w:val="22"/>
          <w:lang w:val="es-AR" w:eastAsia="es-AR"/>
        </w:rPr>
        <w:t>pero las mayores diferencias entre sitios se registraron en</w:t>
      </w:r>
      <w:r w:rsidR="00F76380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117D03" w:rsidRPr="00BE1297">
        <w:rPr>
          <w:rFonts w:ascii="Arial" w:eastAsia="Calibri" w:hAnsi="Arial" w:cs="Arial"/>
          <w:sz w:val="22"/>
          <w:szCs w:val="22"/>
          <w:lang w:val="es-AR" w:eastAsia="es-AR"/>
        </w:rPr>
        <w:t>la producción</w:t>
      </w:r>
      <w:r w:rsidR="008232D0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del T</w:t>
      </w:r>
      <w:r w:rsidR="00106D90" w:rsidRPr="00BE1297">
        <w:rPr>
          <w:rFonts w:ascii="Arial" w:eastAsia="Calibri" w:hAnsi="Arial" w:cs="Arial"/>
          <w:sz w:val="22"/>
          <w:szCs w:val="22"/>
          <w:lang w:val="es-AR" w:eastAsia="es-AR"/>
        </w:rPr>
        <w:t>estigo</w:t>
      </w:r>
      <w:r w:rsidR="00704CDE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, que en Balducchi </w:t>
      </w:r>
      <w:r w:rsidR="00962A63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fue </w:t>
      </w:r>
      <w:r w:rsidR="00704CDE" w:rsidRPr="00BE1297">
        <w:rPr>
          <w:rFonts w:ascii="Arial" w:eastAsia="Calibri" w:hAnsi="Arial" w:cs="Arial"/>
          <w:sz w:val="22"/>
          <w:szCs w:val="22"/>
          <w:lang w:val="es-AR" w:eastAsia="es-AR"/>
        </w:rPr>
        <w:t>claramente menor (Figura 1). Por otro lado, e</w:t>
      </w:r>
      <w:r w:rsidR="00F76380" w:rsidRPr="00BE1297">
        <w:rPr>
          <w:rFonts w:ascii="Arial" w:eastAsia="Calibri" w:hAnsi="Arial" w:cs="Arial"/>
          <w:sz w:val="22"/>
          <w:szCs w:val="22"/>
          <w:lang w:val="es-AR" w:eastAsia="es-AR"/>
        </w:rPr>
        <w:t>n Balducchi s</w:t>
      </w:r>
      <w:r w:rsidR="00D21D43" w:rsidRPr="00BE1297">
        <w:rPr>
          <w:rFonts w:ascii="Arial" w:eastAsia="Calibri" w:hAnsi="Arial" w:cs="Arial"/>
          <w:sz w:val="22"/>
          <w:szCs w:val="22"/>
          <w:lang w:val="es-AR" w:eastAsia="es-AR"/>
        </w:rPr>
        <w:t>e observan</w:t>
      </w:r>
      <w:r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importantes</w:t>
      </w:r>
      <w:r w:rsidR="00D21D43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0F0A38" w:rsidRPr="00BE1297">
        <w:rPr>
          <w:rFonts w:ascii="Arial" w:eastAsia="Calibri" w:hAnsi="Arial" w:cs="Arial"/>
          <w:sz w:val="22"/>
          <w:szCs w:val="22"/>
          <w:lang w:val="es-AR" w:eastAsia="es-AR"/>
        </w:rPr>
        <w:t>reducciones de producción</w:t>
      </w:r>
      <w:r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por no aplicar</w:t>
      </w:r>
      <w:r w:rsidR="00D21D43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N</w:t>
      </w:r>
      <w:r w:rsidR="008232D0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(PS)</w:t>
      </w:r>
      <w:r w:rsidR="00E41D51" w:rsidRPr="00BE1297">
        <w:rPr>
          <w:rFonts w:ascii="Arial" w:eastAsia="Calibri" w:hAnsi="Arial" w:cs="Arial"/>
          <w:sz w:val="22"/>
          <w:szCs w:val="22"/>
          <w:lang w:val="es-AR" w:eastAsia="es-AR"/>
        </w:rPr>
        <w:t>, P</w:t>
      </w:r>
      <w:r w:rsidR="008232D0">
        <w:rPr>
          <w:rFonts w:ascii="Arial" w:eastAsia="Calibri" w:hAnsi="Arial" w:cs="Arial"/>
          <w:sz w:val="22"/>
          <w:szCs w:val="22"/>
          <w:lang w:val="es-AR" w:eastAsia="es-AR"/>
        </w:rPr>
        <w:t xml:space="preserve"> (NS)</w:t>
      </w:r>
      <w:r w:rsidR="00E41D51">
        <w:rPr>
          <w:rFonts w:ascii="Arial" w:eastAsia="Calibri" w:hAnsi="Arial" w:cs="Arial"/>
          <w:sz w:val="22"/>
          <w:szCs w:val="22"/>
          <w:lang w:val="es-AR" w:eastAsia="es-AR"/>
        </w:rPr>
        <w:t xml:space="preserve"> o</w:t>
      </w:r>
      <w:r w:rsidR="00D21D43">
        <w:rPr>
          <w:rFonts w:ascii="Arial" w:eastAsia="Calibri" w:hAnsi="Arial" w:cs="Arial"/>
          <w:sz w:val="22"/>
          <w:szCs w:val="22"/>
          <w:lang w:val="es-AR" w:eastAsia="es-AR"/>
        </w:rPr>
        <w:t xml:space="preserve"> S</w:t>
      </w:r>
      <w:r w:rsidR="008232D0">
        <w:rPr>
          <w:rFonts w:ascii="Arial" w:eastAsia="Calibri" w:hAnsi="Arial" w:cs="Arial"/>
          <w:sz w:val="22"/>
          <w:szCs w:val="22"/>
          <w:lang w:val="es-AR" w:eastAsia="es-AR"/>
        </w:rPr>
        <w:t xml:space="preserve"> (NP)</w:t>
      </w:r>
      <w:r w:rsidR="00D21D43">
        <w:rPr>
          <w:rFonts w:ascii="Arial" w:eastAsia="Calibri" w:hAnsi="Arial" w:cs="Arial"/>
          <w:sz w:val="22"/>
          <w:szCs w:val="22"/>
          <w:lang w:val="es-AR" w:eastAsia="es-AR"/>
        </w:rPr>
        <w:t xml:space="preserve">, siendo más importante la </w:t>
      </w:r>
      <w:r w:rsidR="000F0A38">
        <w:rPr>
          <w:rFonts w:ascii="Arial" w:eastAsia="Calibri" w:hAnsi="Arial" w:cs="Arial"/>
          <w:sz w:val="22"/>
          <w:szCs w:val="22"/>
          <w:lang w:val="es-AR" w:eastAsia="es-AR"/>
        </w:rPr>
        <w:t>limitación por</w:t>
      </w:r>
      <w:r w:rsidR="00D21D43">
        <w:rPr>
          <w:rFonts w:ascii="Arial" w:eastAsia="Calibri" w:hAnsi="Arial" w:cs="Arial"/>
          <w:sz w:val="22"/>
          <w:szCs w:val="22"/>
          <w:lang w:val="es-AR" w:eastAsia="es-AR"/>
        </w:rPr>
        <w:t xml:space="preserve"> N</w:t>
      </w:r>
      <w:r w:rsidR="00962A63">
        <w:rPr>
          <w:rFonts w:ascii="Arial" w:eastAsia="Calibri" w:hAnsi="Arial" w:cs="Arial"/>
          <w:sz w:val="22"/>
          <w:szCs w:val="22"/>
          <w:lang w:val="es-AR" w:eastAsia="es-AR"/>
        </w:rPr>
        <w:t xml:space="preserve"> que la de</w:t>
      </w:r>
      <w:r w:rsidR="00D21D43">
        <w:rPr>
          <w:rFonts w:ascii="Arial" w:eastAsia="Calibri" w:hAnsi="Arial" w:cs="Arial"/>
          <w:sz w:val="22"/>
          <w:szCs w:val="22"/>
          <w:lang w:val="es-AR" w:eastAsia="es-AR"/>
        </w:rPr>
        <w:t xml:space="preserve"> P y S. En</w:t>
      </w:r>
      <w:r w:rsidR="00704CDE">
        <w:rPr>
          <w:rFonts w:ascii="Arial" w:eastAsia="Calibri" w:hAnsi="Arial" w:cs="Arial"/>
          <w:sz w:val="22"/>
          <w:szCs w:val="22"/>
          <w:lang w:val="es-AR" w:eastAsia="es-AR"/>
        </w:rPr>
        <w:t xml:space="preserve"> tanto en</w:t>
      </w:r>
      <w:r w:rsidR="00D21D43">
        <w:rPr>
          <w:rFonts w:ascii="Arial" w:eastAsia="Calibri" w:hAnsi="Arial" w:cs="Arial"/>
          <w:sz w:val="22"/>
          <w:szCs w:val="22"/>
          <w:lang w:val="es-AR" w:eastAsia="es-AR"/>
        </w:rPr>
        <w:t xml:space="preserve"> San Alfredo, la </w:t>
      </w:r>
      <w:r w:rsidR="00704CDE">
        <w:rPr>
          <w:rFonts w:ascii="Arial" w:eastAsia="Calibri" w:hAnsi="Arial" w:cs="Arial"/>
          <w:sz w:val="22"/>
          <w:szCs w:val="22"/>
          <w:lang w:val="es-AR" w:eastAsia="es-AR"/>
        </w:rPr>
        <w:t>falta de</w:t>
      </w:r>
      <w:r w:rsidR="00D21D43">
        <w:rPr>
          <w:rFonts w:ascii="Arial" w:eastAsia="Calibri" w:hAnsi="Arial" w:cs="Arial"/>
          <w:sz w:val="22"/>
          <w:szCs w:val="22"/>
          <w:lang w:val="es-AR" w:eastAsia="es-AR"/>
        </w:rPr>
        <w:t xml:space="preserve"> aplicación de N generó las mayores mermas de producción, seguido </w:t>
      </w:r>
      <w:r w:rsidR="00106D90">
        <w:rPr>
          <w:rFonts w:ascii="Arial" w:eastAsia="Calibri" w:hAnsi="Arial" w:cs="Arial"/>
          <w:sz w:val="22"/>
          <w:szCs w:val="22"/>
          <w:lang w:val="es-AR" w:eastAsia="es-AR"/>
        </w:rPr>
        <w:t>por</w:t>
      </w:r>
      <w:r w:rsidR="00D21D43">
        <w:rPr>
          <w:rFonts w:ascii="Arial" w:eastAsia="Calibri" w:hAnsi="Arial" w:cs="Arial"/>
          <w:sz w:val="22"/>
          <w:szCs w:val="22"/>
          <w:lang w:val="es-AR" w:eastAsia="es-AR"/>
        </w:rPr>
        <w:t xml:space="preserve"> la falta de P y S. </w:t>
      </w:r>
    </w:p>
    <w:p w:rsidR="00704CDE" w:rsidRDefault="000C47C9" w:rsidP="00312CE7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Arial" w:eastAsia="Calibri" w:hAnsi="Arial" w:cs="Arial"/>
          <w:sz w:val="22"/>
          <w:szCs w:val="22"/>
          <w:lang w:val="es-AR" w:eastAsia="es-AR"/>
        </w:rPr>
      </w:pPr>
      <w:r>
        <w:rPr>
          <w:rFonts w:ascii="Arial" w:eastAsia="Calibri" w:hAnsi="Arial" w:cs="Arial"/>
          <w:sz w:val="22"/>
          <w:szCs w:val="22"/>
          <w:lang w:val="es-AR" w:eastAsia="es-AR"/>
        </w:rPr>
        <w:t>B</w:t>
      </w:r>
      <w:r w:rsidR="00805B3A">
        <w:rPr>
          <w:rFonts w:ascii="Arial" w:eastAsia="Calibri" w:hAnsi="Arial" w:cs="Arial"/>
          <w:sz w:val="22"/>
          <w:szCs w:val="22"/>
          <w:lang w:val="es-AR" w:eastAsia="es-AR"/>
        </w:rPr>
        <w:t xml:space="preserve">ajo rotación </w:t>
      </w:r>
      <w:r w:rsidR="00947FB4">
        <w:rPr>
          <w:rFonts w:ascii="Arial" w:eastAsia="Calibri" w:hAnsi="Arial" w:cs="Arial"/>
          <w:sz w:val="22"/>
          <w:szCs w:val="22"/>
          <w:lang w:val="es-AR" w:eastAsia="es-AR"/>
        </w:rPr>
        <w:t>M-</w:t>
      </w:r>
      <w:proofErr w:type="spellStart"/>
      <w:r w:rsidR="00947FB4">
        <w:rPr>
          <w:rFonts w:ascii="Arial" w:eastAsia="Calibri" w:hAnsi="Arial" w:cs="Arial"/>
          <w:sz w:val="22"/>
          <w:szCs w:val="22"/>
          <w:lang w:val="es-AR" w:eastAsia="es-AR"/>
        </w:rPr>
        <w:t>S</w:t>
      </w:r>
      <w:r w:rsidR="005C78B1">
        <w:rPr>
          <w:rFonts w:ascii="Arial" w:eastAsia="Calibri" w:hAnsi="Arial" w:cs="Arial"/>
          <w:sz w:val="22"/>
          <w:szCs w:val="22"/>
          <w:lang w:val="es-AR" w:eastAsia="es-AR"/>
        </w:rPr>
        <w:t>j</w:t>
      </w:r>
      <w:proofErr w:type="spellEnd"/>
      <w:r w:rsidR="00947FB4">
        <w:rPr>
          <w:rFonts w:ascii="Arial" w:eastAsia="Calibri" w:hAnsi="Arial" w:cs="Arial"/>
          <w:sz w:val="22"/>
          <w:szCs w:val="22"/>
          <w:lang w:val="es-AR" w:eastAsia="es-AR"/>
        </w:rPr>
        <w:t>-T/</w:t>
      </w:r>
      <w:proofErr w:type="spellStart"/>
      <w:r w:rsidR="00947FB4">
        <w:rPr>
          <w:rFonts w:ascii="Arial" w:eastAsia="Calibri" w:hAnsi="Arial" w:cs="Arial"/>
          <w:sz w:val="22"/>
          <w:szCs w:val="22"/>
          <w:lang w:val="es-AR" w:eastAsia="es-AR"/>
        </w:rPr>
        <w:t>S</w:t>
      </w:r>
      <w:r w:rsidR="005C78B1">
        <w:rPr>
          <w:rFonts w:ascii="Arial" w:eastAsia="Calibri" w:hAnsi="Arial" w:cs="Arial"/>
          <w:sz w:val="22"/>
          <w:szCs w:val="22"/>
          <w:lang w:val="es-AR" w:eastAsia="es-AR"/>
        </w:rPr>
        <w:t>j</w:t>
      </w:r>
      <w:proofErr w:type="spellEnd"/>
      <w:r w:rsidR="00805B3A">
        <w:rPr>
          <w:rFonts w:ascii="Arial" w:eastAsia="Calibri" w:hAnsi="Arial" w:cs="Arial"/>
          <w:sz w:val="22"/>
          <w:szCs w:val="22"/>
          <w:lang w:val="es-AR" w:eastAsia="es-AR"/>
        </w:rPr>
        <w:t xml:space="preserve">, </w:t>
      </w:r>
      <w:r w:rsidR="008232D0">
        <w:rPr>
          <w:rFonts w:ascii="Arial" w:eastAsia="Calibri" w:hAnsi="Arial" w:cs="Arial"/>
          <w:sz w:val="22"/>
          <w:szCs w:val="22"/>
          <w:lang w:val="es-AR" w:eastAsia="es-AR"/>
        </w:rPr>
        <w:t xml:space="preserve">la producción sin limitaciones fue similar en los tres sitios. La producción de granos acumulada en el </w:t>
      </w:r>
      <w:r w:rsidR="00F54DCC">
        <w:rPr>
          <w:rFonts w:ascii="Arial" w:eastAsia="Calibri" w:hAnsi="Arial" w:cs="Arial"/>
          <w:sz w:val="22"/>
          <w:szCs w:val="22"/>
          <w:lang w:val="es-AR" w:eastAsia="es-AR"/>
        </w:rPr>
        <w:t>Testigo</w:t>
      </w:r>
      <w:r w:rsidR="008232D0">
        <w:rPr>
          <w:rFonts w:ascii="Arial" w:eastAsia="Calibri" w:hAnsi="Arial" w:cs="Arial"/>
          <w:sz w:val="22"/>
          <w:szCs w:val="22"/>
          <w:lang w:val="es-AR" w:eastAsia="es-AR"/>
        </w:rPr>
        <w:t xml:space="preserve"> fue mayor en Lambaré respecto de La Blanca, reflejando una mejor condición de fertilidad en el primero </w:t>
      </w:r>
      <w:r w:rsidR="00704CDE">
        <w:rPr>
          <w:rFonts w:ascii="Arial" w:eastAsia="Calibri" w:hAnsi="Arial" w:cs="Arial"/>
          <w:sz w:val="22"/>
          <w:szCs w:val="22"/>
          <w:lang w:val="es-AR" w:eastAsia="es-AR"/>
        </w:rPr>
        <w:t>debida, en parte, a</w:t>
      </w:r>
      <w:r w:rsidR="008232D0">
        <w:rPr>
          <w:rFonts w:ascii="Arial" w:eastAsia="Calibri" w:hAnsi="Arial" w:cs="Arial"/>
          <w:sz w:val="22"/>
          <w:szCs w:val="22"/>
          <w:lang w:val="es-AR" w:eastAsia="es-AR"/>
        </w:rPr>
        <w:t xml:space="preserve"> su menor historia agrícola </w:t>
      </w:r>
      <w:r w:rsidR="00704CDE">
        <w:rPr>
          <w:rFonts w:ascii="Arial" w:eastAsia="Calibri" w:hAnsi="Arial" w:cs="Arial"/>
          <w:sz w:val="22"/>
          <w:szCs w:val="22"/>
          <w:lang w:val="es-AR" w:eastAsia="es-AR"/>
        </w:rPr>
        <w:t>que además incluía</w:t>
      </w:r>
      <w:r w:rsidR="008232D0">
        <w:rPr>
          <w:rFonts w:ascii="Arial" w:eastAsia="Calibri" w:hAnsi="Arial" w:cs="Arial"/>
          <w:sz w:val="22"/>
          <w:szCs w:val="22"/>
          <w:lang w:val="es-AR" w:eastAsia="es-AR"/>
        </w:rPr>
        <w:t xml:space="preserve"> rotación con pasturas. </w:t>
      </w:r>
      <w:r w:rsidR="00704CDE">
        <w:rPr>
          <w:rFonts w:ascii="Arial" w:eastAsia="Calibri" w:hAnsi="Arial" w:cs="Arial"/>
          <w:sz w:val="22"/>
          <w:szCs w:val="22"/>
          <w:lang w:val="es-AR" w:eastAsia="es-AR"/>
        </w:rPr>
        <w:t>Por otra parte, e</w:t>
      </w:r>
      <w:r w:rsidR="008232D0">
        <w:rPr>
          <w:rFonts w:ascii="Arial" w:eastAsia="Calibri" w:hAnsi="Arial" w:cs="Arial"/>
          <w:sz w:val="22"/>
          <w:szCs w:val="22"/>
          <w:lang w:val="es-AR" w:eastAsia="es-AR"/>
        </w:rPr>
        <w:t>n</w:t>
      </w:r>
      <w:r w:rsidR="00805B3A">
        <w:rPr>
          <w:rFonts w:ascii="Arial" w:eastAsia="Calibri" w:hAnsi="Arial" w:cs="Arial"/>
          <w:sz w:val="22"/>
          <w:szCs w:val="22"/>
          <w:lang w:val="es-AR" w:eastAsia="es-AR"/>
        </w:rPr>
        <w:t xml:space="preserve"> La Blanca </w:t>
      </w:r>
      <w:r w:rsidR="000F0A38">
        <w:rPr>
          <w:rFonts w:ascii="Arial" w:eastAsia="Calibri" w:hAnsi="Arial" w:cs="Arial"/>
          <w:sz w:val="22"/>
          <w:szCs w:val="22"/>
          <w:lang w:val="es-AR" w:eastAsia="es-AR"/>
        </w:rPr>
        <w:t>los nutrientes más limitantes fueron</w:t>
      </w:r>
      <w:r w:rsidR="00805B3A">
        <w:rPr>
          <w:rFonts w:ascii="Arial" w:eastAsia="Calibri" w:hAnsi="Arial" w:cs="Arial"/>
          <w:sz w:val="22"/>
          <w:szCs w:val="22"/>
          <w:lang w:val="es-AR" w:eastAsia="es-AR"/>
        </w:rPr>
        <w:t xml:space="preserve"> N </w:t>
      </w:r>
      <w:r w:rsidR="000F0A38">
        <w:rPr>
          <w:rFonts w:ascii="Arial" w:eastAsia="Calibri" w:hAnsi="Arial" w:cs="Arial"/>
          <w:sz w:val="22"/>
          <w:szCs w:val="22"/>
          <w:lang w:val="es-AR" w:eastAsia="es-AR"/>
        </w:rPr>
        <w:t>y</w:t>
      </w:r>
      <w:r w:rsidR="00805B3A">
        <w:rPr>
          <w:rFonts w:ascii="Arial" w:eastAsia="Calibri" w:hAnsi="Arial" w:cs="Arial"/>
          <w:sz w:val="22"/>
          <w:szCs w:val="22"/>
          <w:lang w:val="es-AR" w:eastAsia="es-AR"/>
        </w:rPr>
        <w:t xml:space="preserve"> P</w:t>
      </w:r>
      <w:r w:rsidR="000F0A38">
        <w:rPr>
          <w:rFonts w:ascii="Arial" w:eastAsia="Calibri" w:hAnsi="Arial" w:cs="Arial"/>
          <w:sz w:val="22"/>
          <w:szCs w:val="22"/>
          <w:lang w:val="es-AR" w:eastAsia="es-AR"/>
        </w:rPr>
        <w:t xml:space="preserve"> (en similar magnitud)</w:t>
      </w:r>
      <w:r w:rsidR="00805B3A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664353">
        <w:rPr>
          <w:rFonts w:ascii="Arial" w:eastAsia="Calibri" w:hAnsi="Arial" w:cs="Arial"/>
          <w:sz w:val="22"/>
          <w:szCs w:val="22"/>
          <w:lang w:val="es-AR" w:eastAsia="es-AR"/>
        </w:rPr>
        <w:t>y</w:t>
      </w:r>
      <w:r w:rsidR="00D179B7">
        <w:rPr>
          <w:rFonts w:ascii="Arial" w:eastAsia="Calibri" w:hAnsi="Arial" w:cs="Arial"/>
          <w:sz w:val="22"/>
          <w:szCs w:val="22"/>
          <w:lang w:val="es-AR" w:eastAsia="es-AR"/>
        </w:rPr>
        <w:t>,</w:t>
      </w:r>
      <w:r w:rsidR="00664353">
        <w:rPr>
          <w:rFonts w:ascii="Arial" w:eastAsia="Calibri" w:hAnsi="Arial" w:cs="Arial"/>
          <w:sz w:val="22"/>
          <w:szCs w:val="22"/>
          <w:lang w:val="es-AR" w:eastAsia="es-AR"/>
        </w:rPr>
        <w:t xml:space="preserve"> en menor medida</w:t>
      </w:r>
      <w:r w:rsidR="00D179B7">
        <w:rPr>
          <w:rFonts w:ascii="Arial" w:eastAsia="Calibri" w:hAnsi="Arial" w:cs="Arial"/>
          <w:sz w:val="22"/>
          <w:szCs w:val="22"/>
          <w:lang w:val="es-AR" w:eastAsia="es-AR"/>
        </w:rPr>
        <w:t>,</w:t>
      </w:r>
      <w:r w:rsidR="00664353">
        <w:rPr>
          <w:rFonts w:ascii="Arial" w:eastAsia="Calibri" w:hAnsi="Arial" w:cs="Arial"/>
          <w:sz w:val="22"/>
          <w:szCs w:val="22"/>
          <w:lang w:val="es-AR" w:eastAsia="es-AR"/>
        </w:rPr>
        <w:t xml:space="preserve"> S</w:t>
      </w:r>
      <w:r w:rsidR="00805B3A">
        <w:rPr>
          <w:rFonts w:ascii="Arial" w:eastAsia="Calibri" w:hAnsi="Arial" w:cs="Arial"/>
          <w:sz w:val="22"/>
          <w:szCs w:val="22"/>
          <w:lang w:val="es-AR" w:eastAsia="es-AR"/>
        </w:rPr>
        <w:t>.</w:t>
      </w:r>
      <w:r w:rsidR="00FF718E">
        <w:rPr>
          <w:rFonts w:ascii="Arial" w:eastAsia="Calibri" w:hAnsi="Arial" w:cs="Arial"/>
          <w:sz w:val="22"/>
          <w:szCs w:val="22"/>
          <w:lang w:val="es-AR" w:eastAsia="es-AR"/>
        </w:rPr>
        <w:t xml:space="preserve"> En este sitio fue donde el P fue más limitante.</w:t>
      </w:r>
      <w:r w:rsidR="00E41D51">
        <w:rPr>
          <w:rFonts w:ascii="Arial" w:eastAsia="Calibri" w:hAnsi="Arial" w:cs="Arial"/>
          <w:sz w:val="22"/>
          <w:szCs w:val="22"/>
          <w:lang w:val="es-AR" w:eastAsia="es-AR"/>
        </w:rPr>
        <w:t xml:space="preserve"> En La Hansa,</w:t>
      </w:r>
      <w:r w:rsidR="00664353">
        <w:rPr>
          <w:rFonts w:ascii="Arial" w:eastAsia="Calibri" w:hAnsi="Arial" w:cs="Arial"/>
          <w:sz w:val="22"/>
          <w:szCs w:val="22"/>
          <w:lang w:val="es-AR" w:eastAsia="es-AR"/>
        </w:rPr>
        <w:t xml:space="preserve"> la mayor limitación se dio por la falta de N, seguido por la falta </w:t>
      </w:r>
      <w:r w:rsidR="00D179B7">
        <w:rPr>
          <w:rFonts w:ascii="Arial" w:eastAsia="Calibri" w:hAnsi="Arial" w:cs="Arial"/>
          <w:sz w:val="22"/>
          <w:szCs w:val="22"/>
          <w:lang w:val="es-AR" w:eastAsia="es-AR"/>
        </w:rPr>
        <w:t xml:space="preserve">de </w:t>
      </w:r>
      <w:r w:rsidR="008232D0">
        <w:rPr>
          <w:rFonts w:ascii="Arial" w:eastAsia="Calibri" w:hAnsi="Arial" w:cs="Arial"/>
          <w:sz w:val="22"/>
          <w:szCs w:val="22"/>
          <w:lang w:val="es-AR" w:eastAsia="es-AR"/>
        </w:rPr>
        <w:t>S</w:t>
      </w:r>
      <w:r w:rsidR="00664353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8232D0">
        <w:rPr>
          <w:rFonts w:ascii="Arial" w:eastAsia="Calibri" w:hAnsi="Arial" w:cs="Arial"/>
          <w:sz w:val="22"/>
          <w:szCs w:val="22"/>
          <w:lang w:val="es-AR" w:eastAsia="es-AR"/>
        </w:rPr>
        <w:t>o</w:t>
      </w:r>
      <w:r w:rsidR="00664353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8232D0">
        <w:rPr>
          <w:rFonts w:ascii="Arial" w:eastAsia="Calibri" w:hAnsi="Arial" w:cs="Arial"/>
          <w:sz w:val="22"/>
          <w:szCs w:val="22"/>
          <w:lang w:val="es-AR" w:eastAsia="es-AR"/>
        </w:rPr>
        <w:t>P. En Lambaré, el principal limitante fue el N</w:t>
      </w:r>
      <w:r w:rsidR="00704CDE">
        <w:rPr>
          <w:rFonts w:ascii="Arial" w:eastAsia="Calibri" w:hAnsi="Arial" w:cs="Arial"/>
          <w:sz w:val="22"/>
          <w:szCs w:val="22"/>
          <w:lang w:val="es-AR" w:eastAsia="es-AR"/>
        </w:rPr>
        <w:t>,</w:t>
      </w:r>
      <w:r w:rsidR="008232D0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FF718E">
        <w:rPr>
          <w:rFonts w:ascii="Arial" w:eastAsia="Calibri" w:hAnsi="Arial" w:cs="Arial"/>
          <w:sz w:val="22"/>
          <w:szCs w:val="22"/>
          <w:lang w:val="es-AR" w:eastAsia="es-AR"/>
        </w:rPr>
        <w:t>y</w:t>
      </w:r>
      <w:r w:rsidR="008232D0">
        <w:rPr>
          <w:rFonts w:ascii="Arial" w:eastAsia="Calibri" w:hAnsi="Arial" w:cs="Arial"/>
          <w:sz w:val="22"/>
          <w:szCs w:val="22"/>
          <w:lang w:val="es-AR" w:eastAsia="es-AR"/>
        </w:rPr>
        <w:t xml:space="preserve"> la falta de P o S no gener</w:t>
      </w:r>
      <w:r w:rsidR="00FF718E">
        <w:rPr>
          <w:rFonts w:ascii="Arial" w:eastAsia="Calibri" w:hAnsi="Arial" w:cs="Arial"/>
          <w:sz w:val="22"/>
          <w:szCs w:val="22"/>
          <w:lang w:val="es-AR" w:eastAsia="es-AR"/>
        </w:rPr>
        <w:t>ó</w:t>
      </w:r>
      <w:r w:rsidR="008232D0">
        <w:rPr>
          <w:rFonts w:ascii="Arial" w:eastAsia="Calibri" w:hAnsi="Arial" w:cs="Arial"/>
          <w:sz w:val="22"/>
          <w:szCs w:val="22"/>
          <w:lang w:val="es-AR" w:eastAsia="es-AR"/>
        </w:rPr>
        <w:t xml:space="preserve"> reducciones respecto del manejo NPS.</w:t>
      </w:r>
    </w:p>
    <w:p w:rsidR="00B06900" w:rsidRDefault="00B06900" w:rsidP="003B65AC">
      <w:pPr>
        <w:autoSpaceDE w:val="0"/>
        <w:autoSpaceDN w:val="0"/>
        <w:adjustRightInd w:val="0"/>
        <w:spacing w:before="240" w:line="288" w:lineRule="auto"/>
        <w:jc w:val="both"/>
        <w:outlineLvl w:val="0"/>
        <w:rPr>
          <w:rFonts w:ascii="Arial" w:eastAsia="Calibri" w:hAnsi="Arial" w:cs="Arial"/>
          <w:i/>
          <w:sz w:val="22"/>
          <w:szCs w:val="22"/>
          <w:lang w:val="es-AR" w:eastAsia="es-AR"/>
        </w:rPr>
      </w:pPr>
      <w:r>
        <w:rPr>
          <w:rFonts w:ascii="Arial" w:eastAsia="Calibri" w:hAnsi="Arial" w:cs="Arial"/>
          <w:i/>
          <w:sz w:val="22"/>
          <w:szCs w:val="22"/>
          <w:lang w:val="es-AR" w:eastAsia="es-AR"/>
        </w:rPr>
        <w:t>Margen por fertilización</w:t>
      </w:r>
    </w:p>
    <w:p w:rsidR="00B06900" w:rsidRPr="00BE1297" w:rsidRDefault="00B06900" w:rsidP="00B06900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Arial" w:eastAsia="Calibri" w:hAnsi="Arial" w:cs="Arial"/>
          <w:sz w:val="22"/>
          <w:szCs w:val="22"/>
          <w:lang w:val="es-AR" w:eastAsia="es-AR"/>
        </w:rPr>
      </w:pP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Durante el período analizado, las relaciones de precios registraron altibajos que generaron momentos más y menos aptos para la inversión en </w:t>
      </w:r>
      <w:r w:rsidRPr="00BE1297">
        <w:rPr>
          <w:rFonts w:ascii="Arial" w:eastAsia="Calibri" w:hAnsi="Arial" w:cs="Arial"/>
          <w:sz w:val="22"/>
          <w:szCs w:val="22"/>
          <w:lang w:val="es-AR" w:eastAsia="es-AR"/>
        </w:rPr>
        <w:t>fertilizantes. A modo de resumen, en la Tabla 3, se detallan las relaciones de precios (kg grano kg</w:t>
      </w:r>
      <w:r w:rsidRPr="00BE1297">
        <w:rPr>
          <w:rFonts w:ascii="Arial" w:eastAsia="Calibri" w:hAnsi="Arial" w:cs="Arial"/>
          <w:sz w:val="22"/>
          <w:szCs w:val="22"/>
          <w:vertAlign w:val="superscript"/>
          <w:lang w:val="es-AR" w:eastAsia="es-AR"/>
        </w:rPr>
        <w:t>-1</w:t>
      </w:r>
      <w:r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nutriente) medias y los coeficientes de variación (CV) entres las campañas 2000/01 y 2012/13.</w:t>
      </w:r>
      <w:r w:rsidR="00BF44F7">
        <w:rPr>
          <w:rFonts w:ascii="Arial" w:eastAsia="Calibri" w:hAnsi="Arial" w:cs="Arial"/>
          <w:sz w:val="22"/>
          <w:szCs w:val="22"/>
          <w:lang w:val="es-AR" w:eastAsia="es-AR"/>
        </w:rPr>
        <w:t xml:space="preserve"> L</w:t>
      </w:r>
      <w:r w:rsidR="00BF44F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a tendencia </w:t>
      </w:r>
      <w:r w:rsidR="00BF44F7">
        <w:rPr>
          <w:rFonts w:ascii="Arial" w:eastAsia="Calibri" w:hAnsi="Arial" w:cs="Arial"/>
          <w:sz w:val="22"/>
          <w:szCs w:val="22"/>
          <w:lang w:val="es-AR" w:eastAsia="es-AR"/>
        </w:rPr>
        <w:t xml:space="preserve">general </w:t>
      </w:r>
      <w:r w:rsidR="00BF44F7" w:rsidRPr="00BE1297">
        <w:rPr>
          <w:rFonts w:ascii="Arial" w:eastAsia="Calibri" w:hAnsi="Arial" w:cs="Arial"/>
          <w:sz w:val="22"/>
          <w:szCs w:val="22"/>
          <w:lang w:val="es-AR" w:eastAsia="es-AR"/>
        </w:rPr>
        <w:t>fue de márgenes positivos,</w:t>
      </w:r>
      <w:r w:rsidR="00C52102">
        <w:rPr>
          <w:rFonts w:ascii="Arial" w:eastAsia="Calibri" w:hAnsi="Arial" w:cs="Arial"/>
          <w:sz w:val="22"/>
          <w:szCs w:val="22"/>
          <w:lang w:val="es-AR" w:eastAsia="es-AR"/>
        </w:rPr>
        <w:t xml:space="preserve"> mayores en l</w:t>
      </w:r>
      <w:r w:rsidR="00CC32F1">
        <w:rPr>
          <w:rFonts w:ascii="Arial" w:eastAsia="Calibri" w:hAnsi="Arial" w:cs="Arial"/>
          <w:sz w:val="22"/>
          <w:szCs w:val="22"/>
          <w:lang w:val="es-AR" w:eastAsia="es-AR"/>
        </w:rPr>
        <w:t>os últimos años</w:t>
      </w:r>
      <w:r w:rsidR="00C52102">
        <w:rPr>
          <w:rFonts w:ascii="Arial" w:eastAsia="Calibri" w:hAnsi="Arial" w:cs="Arial"/>
          <w:sz w:val="22"/>
          <w:szCs w:val="22"/>
          <w:lang w:val="es-AR" w:eastAsia="es-AR"/>
        </w:rPr>
        <w:t>,</w:t>
      </w:r>
      <w:r w:rsidR="00BF44F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037121">
        <w:rPr>
          <w:rFonts w:ascii="Arial" w:eastAsia="Calibri" w:hAnsi="Arial" w:cs="Arial"/>
          <w:sz w:val="22"/>
          <w:szCs w:val="22"/>
          <w:lang w:val="es-AR" w:eastAsia="es-AR"/>
        </w:rPr>
        <w:t>con variaciones entre</w:t>
      </w:r>
      <w:r w:rsidR="00BF44F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C52102">
        <w:rPr>
          <w:rFonts w:ascii="Arial" w:eastAsia="Calibri" w:hAnsi="Arial" w:cs="Arial"/>
          <w:sz w:val="22"/>
          <w:szCs w:val="22"/>
          <w:lang w:val="es-AR" w:eastAsia="es-AR"/>
        </w:rPr>
        <w:t>sitios y</w:t>
      </w:r>
      <w:r w:rsidR="00CC32F1">
        <w:rPr>
          <w:rFonts w:ascii="Arial" w:eastAsia="Calibri" w:hAnsi="Arial" w:cs="Arial"/>
          <w:sz w:val="22"/>
          <w:szCs w:val="22"/>
          <w:lang w:val="es-AR" w:eastAsia="es-AR"/>
        </w:rPr>
        <w:t xml:space="preserve"> entre</w:t>
      </w:r>
      <w:r w:rsidR="00C52102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CC32F1">
        <w:rPr>
          <w:rFonts w:ascii="Arial" w:eastAsia="Calibri" w:hAnsi="Arial" w:cs="Arial"/>
          <w:sz w:val="22"/>
          <w:szCs w:val="22"/>
          <w:lang w:val="es-AR" w:eastAsia="es-AR"/>
        </w:rPr>
        <w:t xml:space="preserve">campañas </w:t>
      </w:r>
      <w:r w:rsidR="00037121">
        <w:rPr>
          <w:rFonts w:ascii="Arial" w:eastAsia="Calibri" w:hAnsi="Arial" w:cs="Arial"/>
          <w:sz w:val="22"/>
          <w:szCs w:val="22"/>
          <w:lang w:val="es-AR" w:eastAsia="es-AR"/>
        </w:rPr>
        <w:t>según</w:t>
      </w:r>
      <w:r w:rsidR="00BF44F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037121">
        <w:rPr>
          <w:rFonts w:ascii="Arial" w:eastAsia="Calibri" w:hAnsi="Arial" w:cs="Arial"/>
          <w:sz w:val="22"/>
          <w:szCs w:val="22"/>
          <w:lang w:val="es-AR" w:eastAsia="es-AR"/>
        </w:rPr>
        <w:t xml:space="preserve">condiciones </w:t>
      </w:r>
      <w:r w:rsidR="00BF44F7">
        <w:rPr>
          <w:rFonts w:ascii="Arial" w:eastAsia="Calibri" w:hAnsi="Arial" w:cs="Arial"/>
          <w:sz w:val="22"/>
          <w:szCs w:val="22"/>
          <w:lang w:val="es-AR" w:eastAsia="es-AR"/>
        </w:rPr>
        <w:t>climátic</w:t>
      </w:r>
      <w:r w:rsidR="00037121">
        <w:rPr>
          <w:rFonts w:ascii="Arial" w:eastAsia="Calibri" w:hAnsi="Arial" w:cs="Arial"/>
          <w:sz w:val="22"/>
          <w:szCs w:val="22"/>
          <w:lang w:val="es-AR" w:eastAsia="es-AR"/>
        </w:rPr>
        <w:t>a</w:t>
      </w:r>
      <w:r w:rsidR="00BF44F7">
        <w:rPr>
          <w:rFonts w:ascii="Arial" w:eastAsia="Calibri" w:hAnsi="Arial" w:cs="Arial"/>
          <w:sz w:val="22"/>
          <w:szCs w:val="22"/>
          <w:lang w:val="es-AR" w:eastAsia="es-AR"/>
        </w:rPr>
        <w:t>s</w:t>
      </w:r>
      <w:r w:rsidR="00037121">
        <w:rPr>
          <w:rFonts w:ascii="Arial" w:eastAsia="Calibri" w:hAnsi="Arial" w:cs="Arial"/>
          <w:sz w:val="22"/>
          <w:szCs w:val="22"/>
          <w:lang w:val="es-AR" w:eastAsia="es-AR"/>
        </w:rPr>
        <w:t xml:space="preserve">, </w:t>
      </w:r>
      <w:r w:rsidR="00BF44F7">
        <w:rPr>
          <w:rFonts w:ascii="Arial" w:eastAsia="Calibri" w:hAnsi="Arial" w:cs="Arial"/>
          <w:sz w:val="22"/>
          <w:szCs w:val="22"/>
          <w:lang w:val="es-AR" w:eastAsia="es-AR"/>
        </w:rPr>
        <w:t xml:space="preserve">incidencia de enfermedades, </w:t>
      </w:r>
      <w:r w:rsidR="00000C4A">
        <w:rPr>
          <w:rFonts w:ascii="Arial" w:eastAsia="Calibri" w:hAnsi="Arial" w:cs="Arial"/>
          <w:sz w:val="22"/>
          <w:szCs w:val="22"/>
          <w:lang w:val="es-AR" w:eastAsia="es-AR"/>
        </w:rPr>
        <w:t xml:space="preserve">y </w:t>
      </w:r>
      <w:r w:rsidR="00BF44F7" w:rsidRPr="00BE1297">
        <w:rPr>
          <w:rFonts w:ascii="Arial" w:eastAsia="Calibri" w:hAnsi="Arial" w:cs="Arial"/>
          <w:sz w:val="22"/>
          <w:szCs w:val="22"/>
          <w:lang w:val="es-AR" w:eastAsia="es-AR"/>
        </w:rPr>
        <w:t>relaciones de precios</w:t>
      </w:r>
      <w:r w:rsidR="00CC32F1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000C4A">
        <w:rPr>
          <w:rFonts w:ascii="Arial" w:eastAsia="Calibri" w:hAnsi="Arial" w:cs="Arial"/>
          <w:sz w:val="22"/>
          <w:szCs w:val="22"/>
          <w:lang w:val="es-AR" w:eastAsia="es-AR"/>
        </w:rPr>
        <w:t>(</w:t>
      </w:r>
      <w:r w:rsidR="00CC32F1">
        <w:rPr>
          <w:rFonts w:ascii="Arial" w:eastAsia="Calibri" w:hAnsi="Arial" w:cs="Arial"/>
          <w:sz w:val="22"/>
          <w:szCs w:val="22"/>
          <w:lang w:val="es-AR" w:eastAsia="es-AR"/>
        </w:rPr>
        <w:t>i.e.</w:t>
      </w:r>
      <w:r w:rsidR="00000C4A">
        <w:rPr>
          <w:rFonts w:ascii="Arial" w:eastAsia="Calibri" w:hAnsi="Arial" w:cs="Arial"/>
          <w:sz w:val="22"/>
          <w:szCs w:val="22"/>
          <w:lang w:val="es-AR" w:eastAsia="es-AR"/>
        </w:rPr>
        <w:t xml:space="preserve"> 2008/09</w:t>
      </w:r>
      <w:r w:rsidR="00CC32F1">
        <w:rPr>
          <w:rFonts w:ascii="Arial" w:eastAsia="Calibri" w:hAnsi="Arial" w:cs="Arial"/>
          <w:sz w:val="22"/>
          <w:szCs w:val="22"/>
          <w:lang w:val="es-AR" w:eastAsia="es-AR"/>
        </w:rPr>
        <w:t xml:space="preserve">, </w:t>
      </w:r>
      <w:r w:rsidR="00CC32F1">
        <w:rPr>
          <w:rFonts w:ascii="Arial" w:eastAsia="Calibri" w:hAnsi="Arial" w:cs="Arial"/>
          <w:sz w:val="22"/>
          <w:szCs w:val="22"/>
          <w:lang w:val="es-AR" w:eastAsia="es-AR"/>
        </w:rPr>
        <w:lastRenderedPageBreak/>
        <w:t>atípicamente altas</w:t>
      </w:r>
      <w:r w:rsidR="00000C4A">
        <w:rPr>
          <w:rFonts w:ascii="Arial" w:eastAsia="Calibri" w:hAnsi="Arial" w:cs="Arial"/>
          <w:sz w:val="22"/>
          <w:szCs w:val="22"/>
          <w:lang w:val="es-AR" w:eastAsia="es-AR"/>
        </w:rPr>
        <w:t>)</w:t>
      </w:r>
      <w:r w:rsidR="00BF44F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, registrando </w:t>
      </w:r>
      <w:r w:rsidR="00000C4A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márgenes reducidos </w:t>
      </w:r>
      <w:r w:rsidR="00BF44F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en algunos casos </w:t>
      </w:r>
      <w:r w:rsidR="00000C4A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y </w:t>
      </w:r>
      <w:r w:rsidR="0090277E">
        <w:rPr>
          <w:rFonts w:ascii="Arial" w:eastAsia="Calibri" w:hAnsi="Arial" w:cs="Arial"/>
          <w:sz w:val="22"/>
          <w:szCs w:val="22"/>
          <w:lang w:val="es-AR" w:eastAsia="es-AR"/>
        </w:rPr>
        <w:t xml:space="preserve">pérdidas </w:t>
      </w:r>
      <w:r w:rsidR="00000C4A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en otros </w:t>
      </w:r>
      <w:r w:rsidR="00BF44F7" w:rsidRPr="00BE1297">
        <w:rPr>
          <w:rFonts w:ascii="Arial" w:eastAsia="Calibri" w:hAnsi="Arial" w:cs="Arial"/>
          <w:sz w:val="22"/>
          <w:szCs w:val="22"/>
          <w:lang w:val="es-AR" w:eastAsia="es-AR"/>
        </w:rPr>
        <w:t>(especialmente para los tratamientos con P) (Figura 2).</w:t>
      </w:r>
    </w:p>
    <w:p w:rsidR="00AA6B63" w:rsidRDefault="00AA6B63" w:rsidP="00AA6B63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Arial" w:eastAsia="Calibri" w:hAnsi="Arial" w:cs="Arial"/>
          <w:sz w:val="22"/>
          <w:szCs w:val="22"/>
          <w:lang w:val="es-AR" w:eastAsia="es-AR"/>
        </w:rPr>
      </w:pPr>
      <w:r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En la Figura 2, se muestra </w:t>
      </w:r>
      <w:r w:rsidR="0090277E">
        <w:rPr>
          <w:rFonts w:ascii="Arial" w:eastAsia="Calibri" w:hAnsi="Arial" w:cs="Arial"/>
          <w:sz w:val="22"/>
          <w:szCs w:val="22"/>
          <w:lang w:val="es-AR" w:eastAsia="es-AR"/>
        </w:rPr>
        <w:t>cómo fue la evolución del MB parcial</w:t>
      </w:r>
      <w:r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acumulado para los diferentes tratamientos de fertilización en los cinco sitios. Luego de trece campañas, los mayores márgenes</w:t>
      </w: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 por fertilización se registraron en los sitios bajo rotación M-T/</w:t>
      </w:r>
      <w:proofErr w:type="spellStart"/>
      <w:r>
        <w:rPr>
          <w:rFonts w:ascii="Arial" w:eastAsia="Calibri" w:hAnsi="Arial" w:cs="Arial"/>
          <w:sz w:val="22"/>
          <w:szCs w:val="22"/>
          <w:lang w:val="es-AR" w:eastAsia="es-AR"/>
        </w:rPr>
        <w:t>S</w:t>
      </w:r>
      <w:r w:rsidR="005C78B1">
        <w:rPr>
          <w:rFonts w:ascii="Arial" w:eastAsia="Calibri" w:hAnsi="Arial" w:cs="Arial"/>
          <w:sz w:val="22"/>
          <w:szCs w:val="22"/>
          <w:lang w:val="es-AR" w:eastAsia="es-AR"/>
        </w:rPr>
        <w:t>j</w:t>
      </w:r>
      <w:proofErr w:type="spellEnd"/>
      <w:r>
        <w:rPr>
          <w:rFonts w:ascii="Arial" w:eastAsia="Calibri" w:hAnsi="Arial" w:cs="Arial"/>
          <w:sz w:val="22"/>
          <w:szCs w:val="22"/>
          <w:lang w:val="es-AR" w:eastAsia="es-AR"/>
        </w:rPr>
        <w:t>. En Balducchi (con mayor historia de agricultura continua)</w:t>
      </w:r>
      <w:r w:rsidR="00D179B7">
        <w:rPr>
          <w:rFonts w:ascii="Arial" w:eastAsia="Calibri" w:hAnsi="Arial" w:cs="Arial"/>
          <w:sz w:val="22"/>
          <w:szCs w:val="22"/>
          <w:lang w:val="es-AR" w:eastAsia="es-AR"/>
        </w:rPr>
        <w:t>,</w:t>
      </w: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 los márgenes acumulados fueron de </w:t>
      </w:r>
      <w:r w:rsidR="00B07F5D">
        <w:rPr>
          <w:rFonts w:ascii="Arial" w:eastAsia="Calibri" w:hAnsi="Arial" w:cs="Arial"/>
          <w:sz w:val="22"/>
          <w:szCs w:val="22"/>
          <w:lang w:val="es-AR" w:eastAsia="es-AR"/>
        </w:rPr>
        <w:t>1679</w:t>
      </w: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, </w:t>
      </w:r>
      <w:r w:rsidR="00B07F5D">
        <w:rPr>
          <w:rFonts w:ascii="Arial" w:eastAsia="Calibri" w:hAnsi="Arial" w:cs="Arial"/>
          <w:sz w:val="22"/>
          <w:szCs w:val="22"/>
          <w:lang w:val="es-AR" w:eastAsia="es-AR"/>
        </w:rPr>
        <w:t>2774</w:t>
      </w: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, </w:t>
      </w:r>
      <w:r w:rsidR="00B07F5D">
        <w:rPr>
          <w:rFonts w:ascii="Arial" w:eastAsia="Calibri" w:hAnsi="Arial" w:cs="Arial"/>
          <w:sz w:val="22"/>
          <w:szCs w:val="22"/>
          <w:lang w:val="es-AR" w:eastAsia="es-AR"/>
        </w:rPr>
        <w:t>1606</w:t>
      </w: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 y </w:t>
      </w:r>
      <w:r w:rsidR="00B07F5D">
        <w:rPr>
          <w:rFonts w:ascii="Arial" w:eastAsia="Calibri" w:hAnsi="Arial" w:cs="Arial"/>
          <w:sz w:val="22"/>
          <w:szCs w:val="22"/>
          <w:lang w:val="es-AR" w:eastAsia="es-AR"/>
        </w:rPr>
        <w:t>4770</w:t>
      </w: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3B65AC">
        <w:rPr>
          <w:rFonts w:ascii="Arial" w:eastAsia="Calibri" w:hAnsi="Arial" w:cs="Arial"/>
          <w:sz w:val="22"/>
          <w:szCs w:val="22"/>
          <w:lang w:val="es-AR" w:eastAsia="es-AR"/>
        </w:rPr>
        <w:t>US$</w:t>
      </w: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 ha</w:t>
      </w:r>
      <w:r w:rsidRPr="00097B7B">
        <w:rPr>
          <w:rFonts w:ascii="Arial" w:eastAsia="Calibri" w:hAnsi="Arial" w:cs="Arial"/>
          <w:sz w:val="22"/>
          <w:szCs w:val="22"/>
          <w:vertAlign w:val="superscript"/>
          <w:lang w:val="es-AR" w:eastAsia="es-AR"/>
        </w:rPr>
        <w:t>-1</w:t>
      </w: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 para los tratamientos PS, NS, NP y NPS, respectivamente. Para los mismos tratamientos, los márgenes acumulados en San Alfredo fueron de </w:t>
      </w:r>
      <w:r w:rsidR="00B07F5D">
        <w:rPr>
          <w:rFonts w:ascii="Arial" w:eastAsia="Calibri" w:hAnsi="Arial" w:cs="Arial"/>
          <w:sz w:val="22"/>
          <w:szCs w:val="22"/>
          <w:lang w:val="es-AR" w:eastAsia="es-AR"/>
        </w:rPr>
        <w:t>1019</w:t>
      </w:r>
      <w:r w:rsidRPr="007A73C8">
        <w:rPr>
          <w:rFonts w:ascii="Arial" w:eastAsia="Calibri" w:hAnsi="Arial" w:cs="Arial"/>
          <w:sz w:val="22"/>
          <w:szCs w:val="22"/>
          <w:lang w:val="es-AR" w:eastAsia="es-AR"/>
        </w:rPr>
        <w:t xml:space="preserve">, </w:t>
      </w:r>
      <w:r w:rsidR="00B07F5D">
        <w:rPr>
          <w:rFonts w:ascii="Arial" w:eastAsia="Calibri" w:hAnsi="Arial" w:cs="Arial"/>
          <w:sz w:val="22"/>
          <w:szCs w:val="22"/>
          <w:lang w:val="es-AR" w:eastAsia="es-AR"/>
        </w:rPr>
        <w:t>1650</w:t>
      </w:r>
      <w:r w:rsidRPr="007A73C8">
        <w:rPr>
          <w:rFonts w:ascii="Arial" w:eastAsia="Calibri" w:hAnsi="Arial" w:cs="Arial"/>
          <w:sz w:val="22"/>
          <w:szCs w:val="22"/>
          <w:lang w:val="es-AR" w:eastAsia="es-AR"/>
        </w:rPr>
        <w:t xml:space="preserve">, </w:t>
      </w:r>
      <w:r w:rsidR="00B07F5D">
        <w:rPr>
          <w:rFonts w:ascii="Arial" w:eastAsia="Calibri" w:hAnsi="Arial" w:cs="Arial"/>
          <w:sz w:val="22"/>
          <w:szCs w:val="22"/>
          <w:lang w:val="es-AR" w:eastAsia="es-AR"/>
        </w:rPr>
        <w:t>1714</w:t>
      </w:r>
      <w:r w:rsidRPr="007A73C8">
        <w:rPr>
          <w:rFonts w:ascii="Arial" w:eastAsia="Calibri" w:hAnsi="Arial" w:cs="Arial"/>
          <w:sz w:val="22"/>
          <w:szCs w:val="22"/>
          <w:lang w:val="es-AR" w:eastAsia="es-AR"/>
        </w:rPr>
        <w:t xml:space="preserve"> y </w:t>
      </w:r>
      <w:r w:rsidR="00B07F5D">
        <w:rPr>
          <w:rFonts w:ascii="Arial" w:eastAsia="Calibri" w:hAnsi="Arial" w:cs="Arial"/>
          <w:sz w:val="22"/>
          <w:szCs w:val="22"/>
          <w:lang w:val="es-AR" w:eastAsia="es-AR"/>
        </w:rPr>
        <w:t>2748</w:t>
      </w: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3B65AC">
        <w:rPr>
          <w:rFonts w:ascii="Arial" w:eastAsia="Calibri" w:hAnsi="Arial" w:cs="Arial"/>
          <w:sz w:val="22"/>
          <w:szCs w:val="22"/>
          <w:lang w:val="es-AR" w:eastAsia="es-AR"/>
        </w:rPr>
        <w:t>US$</w:t>
      </w: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 ha</w:t>
      </w:r>
      <w:r w:rsidRPr="00097B7B">
        <w:rPr>
          <w:rFonts w:ascii="Arial" w:eastAsia="Calibri" w:hAnsi="Arial" w:cs="Arial"/>
          <w:sz w:val="22"/>
          <w:szCs w:val="22"/>
          <w:vertAlign w:val="superscript"/>
          <w:lang w:val="es-AR" w:eastAsia="es-AR"/>
        </w:rPr>
        <w:t>-1</w:t>
      </w:r>
      <w:r>
        <w:rPr>
          <w:rFonts w:ascii="Arial" w:eastAsia="Calibri" w:hAnsi="Arial" w:cs="Arial"/>
          <w:sz w:val="22"/>
          <w:szCs w:val="22"/>
          <w:lang w:val="es-AR" w:eastAsia="es-AR"/>
        </w:rPr>
        <w:t>, respectivamente. En Balducchi, el margen por fertilización comenzó a diferenciarse entre tratamientos a partir de la segunda campaña y</w:t>
      </w:r>
      <w:r w:rsidR="00D179B7">
        <w:rPr>
          <w:rFonts w:ascii="Arial" w:eastAsia="Calibri" w:hAnsi="Arial" w:cs="Arial"/>
          <w:sz w:val="22"/>
          <w:szCs w:val="22"/>
          <w:lang w:val="es-AR" w:eastAsia="es-AR"/>
        </w:rPr>
        <w:t>,</w:t>
      </w: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 a partir de la sexta</w:t>
      </w:r>
      <w:r w:rsidR="00D179B7">
        <w:rPr>
          <w:rFonts w:ascii="Arial" w:eastAsia="Calibri" w:hAnsi="Arial" w:cs="Arial"/>
          <w:sz w:val="22"/>
          <w:szCs w:val="22"/>
          <w:lang w:val="es-AR" w:eastAsia="es-AR"/>
        </w:rPr>
        <w:t>,</w:t>
      </w: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 el beneficio acumulado del manejo NPS comenzó a ser notoriamente superior al resto. En San Alfredo, se comenzaron a registrar diferencias significativas a partir de la </w:t>
      </w:r>
      <w:r w:rsidR="0090277E">
        <w:rPr>
          <w:rFonts w:ascii="Arial" w:eastAsia="Calibri" w:hAnsi="Arial" w:cs="Arial"/>
          <w:sz w:val="22"/>
          <w:szCs w:val="22"/>
          <w:lang w:val="es-AR" w:eastAsia="es-AR"/>
        </w:rPr>
        <w:t>sexta</w:t>
      </w: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 cosecha y</w:t>
      </w:r>
      <w:r w:rsidR="00D179B7">
        <w:rPr>
          <w:rFonts w:ascii="Arial" w:eastAsia="Calibri" w:hAnsi="Arial" w:cs="Arial"/>
          <w:sz w:val="22"/>
          <w:szCs w:val="22"/>
          <w:lang w:val="es-AR" w:eastAsia="es-AR"/>
        </w:rPr>
        <w:t>,</w:t>
      </w: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 a partir de la octava campaña</w:t>
      </w:r>
      <w:r w:rsidR="00D179B7">
        <w:rPr>
          <w:rFonts w:ascii="Arial" w:eastAsia="Calibri" w:hAnsi="Arial" w:cs="Arial"/>
          <w:sz w:val="22"/>
          <w:szCs w:val="22"/>
          <w:lang w:val="es-AR" w:eastAsia="es-AR"/>
        </w:rPr>
        <w:t>,</w:t>
      </w: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 el tratamiento NPS fue claramente superior al resto.</w:t>
      </w:r>
    </w:p>
    <w:p w:rsidR="00AA6B63" w:rsidRDefault="00AA6B63" w:rsidP="00B06900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Arial" w:eastAsia="Calibri" w:hAnsi="Arial" w:cs="Arial"/>
          <w:sz w:val="22"/>
          <w:szCs w:val="22"/>
          <w:lang w:val="es-AR" w:eastAsia="es-AR"/>
        </w:rPr>
      </w:pPr>
    </w:p>
    <w:p w:rsidR="00B06900" w:rsidRDefault="00B06900" w:rsidP="00B06900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Arial" w:hAnsi="Arial" w:cs="Arial"/>
          <w:sz w:val="18"/>
          <w:szCs w:val="20"/>
        </w:rPr>
      </w:pPr>
      <w:r w:rsidRPr="00BE1297">
        <w:rPr>
          <w:rFonts w:ascii="Arial" w:eastAsia="Calibri" w:hAnsi="Arial" w:cs="Arial"/>
          <w:sz w:val="20"/>
          <w:szCs w:val="22"/>
          <w:lang w:val="es-AR" w:eastAsia="es-AR"/>
        </w:rPr>
        <w:t xml:space="preserve"> </w:t>
      </w:r>
      <w:r w:rsidRPr="00BE1297">
        <w:rPr>
          <w:rFonts w:ascii="Arial" w:hAnsi="Arial" w:cs="Arial"/>
          <w:b/>
          <w:sz w:val="18"/>
          <w:szCs w:val="20"/>
        </w:rPr>
        <w:t xml:space="preserve">Tabla </w:t>
      </w:r>
      <w:r w:rsidR="007E0613" w:rsidRPr="00BE1297">
        <w:rPr>
          <w:rFonts w:ascii="Arial" w:hAnsi="Arial" w:cs="Arial"/>
          <w:b/>
          <w:sz w:val="18"/>
          <w:szCs w:val="20"/>
        </w:rPr>
        <w:t>3</w:t>
      </w:r>
      <w:r w:rsidRPr="00BE1297">
        <w:rPr>
          <w:rFonts w:ascii="Arial" w:hAnsi="Arial" w:cs="Arial"/>
          <w:b/>
          <w:sz w:val="18"/>
          <w:szCs w:val="20"/>
        </w:rPr>
        <w:t>.</w:t>
      </w:r>
      <w:r w:rsidRPr="00BE1297">
        <w:rPr>
          <w:rFonts w:ascii="Arial" w:hAnsi="Arial" w:cs="Arial"/>
          <w:sz w:val="18"/>
          <w:szCs w:val="20"/>
        </w:rPr>
        <w:t xml:space="preserve"> Promedio de las relaciones de precios (</w:t>
      </w:r>
      <w:r w:rsidRPr="00BE1297">
        <w:rPr>
          <w:rFonts w:ascii="Arial" w:hAnsi="Arial" w:cs="Arial"/>
          <w:sz w:val="18"/>
          <w:szCs w:val="20"/>
          <w:lang w:val="es-AR" w:eastAsia="es-AR"/>
        </w:rPr>
        <w:t>kg grano kg</w:t>
      </w:r>
      <w:r w:rsidRPr="00BE1297">
        <w:rPr>
          <w:rFonts w:ascii="Arial" w:hAnsi="Arial" w:cs="Arial"/>
          <w:sz w:val="18"/>
          <w:szCs w:val="20"/>
          <w:vertAlign w:val="superscript"/>
          <w:lang w:val="es-AR" w:eastAsia="es-AR"/>
        </w:rPr>
        <w:t>-1</w:t>
      </w:r>
      <w:r w:rsidRPr="00BE1297">
        <w:rPr>
          <w:rFonts w:ascii="Arial" w:hAnsi="Arial" w:cs="Arial"/>
          <w:sz w:val="18"/>
          <w:szCs w:val="20"/>
          <w:lang w:val="es-AR" w:eastAsia="es-AR"/>
        </w:rPr>
        <w:t xml:space="preserve"> nutriente</w:t>
      </w:r>
      <w:r w:rsidRPr="00BE1297">
        <w:rPr>
          <w:rFonts w:ascii="Arial" w:hAnsi="Arial" w:cs="Arial"/>
          <w:sz w:val="18"/>
          <w:szCs w:val="20"/>
        </w:rPr>
        <w:t>) registradas entre las campañas 2000/01 y 2012/13, y sus respectivos coeficientes de variación (CV, %).</w:t>
      </w:r>
    </w:p>
    <w:tbl>
      <w:tblPr>
        <w:tblW w:w="0" w:type="auto"/>
        <w:jc w:val="center"/>
        <w:tblInd w:w="94" w:type="dxa"/>
        <w:tblLook w:val="04A0" w:firstRow="1" w:lastRow="0" w:firstColumn="1" w:lastColumn="0" w:noHBand="0" w:noVBand="1"/>
      </w:tblPr>
      <w:tblGrid>
        <w:gridCol w:w="2211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FF5D24" w:rsidRPr="00FF5D24" w:rsidTr="00FF5D24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24" w:rsidRPr="00FF5D24" w:rsidRDefault="00FF5D24" w:rsidP="00FF5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FF5D2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Grano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24" w:rsidRPr="00FF5D24" w:rsidRDefault="00FF5D24" w:rsidP="00FF5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FF5D2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Trigo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24" w:rsidRPr="00FF5D24" w:rsidRDefault="00FF5D24" w:rsidP="00FF5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FF5D2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Maiz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D24" w:rsidRPr="00FF5D24" w:rsidRDefault="00FF5D24" w:rsidP="00FF5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FF5D2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Soja</w:t>
            </w:r>
            <w:proofErr w:type="spellEnd"/>
          </w:p>
        </w:tc>
      </w:tr>
      <w:tr w:rsidR="00FF5D24" w:rsidRPr="00FF5D24" w:rsidTr="00FF5D24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24" w:rsidRPr="00FF5D24" w:rsidRDefault="00FF5D24" w:rsidP="00FF5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FF5D2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Nutriente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24" w:rsidRPr="00FF5D24" w:rsidRDefault="00FF5D24" w:rsidP="00FF5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F5D2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24" w:rsidRPr="00FF5D24" w:rsidRDefault="00FF5D24" w:rsidP="00FF5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F5D2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24" w:rsidRPr="00FF5D24" w:rsidRDefault="00FF5D24" w:rsidP="00FF5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F5D2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24" w:rsidRPr="00FF5D24" w:rsidRDefault="00FF5D24" w:rsidP="00FF5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F5D2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24" w:rsidRPr="00FF5D24" w:rsidRDefault="00FF5D24" w:rsidP="00FF5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F5D2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24" w:rsidRPr="00FF5D24" w:rsidRDefault="00FF5D24" w:rsidP="00FF5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F5D2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24" w:rsidRPr="00FF5D24" w:rsidRDefault="00FF5D24" w:rsidP="00FF5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F5D2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24" w:rsidRPr="00FF5D24" w:rsidRDefault="00FF5D24" w:rsidP="00FF5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F5D2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S</w:t>
            </w:r>
          </w:p>
        </w:tc>
      </w:tr>
      <w:tr w:rsidR="00FF5D24" w:rsidRPr="00FF5D24" w:rsidTr="00FF5D24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24" w:rsidRPr="00FF5D24" w:rsidRDefault="00FF5D24" w:rsidP="00FF5D2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kg grano kg</w:t>
            </w:r>
            <w:r w:rsidRPr="007A73C8">
              <w:rPr>
                <w:rFonts w:ascii="Arial" w:hAnsi="Arial" w:cs="Arial"/>
                <w:sz w:val="20"/>
                <w:szCs w:val="20"/>
                <w:vertAlign w:val="superscript"/>
                <w:lang w:val="es-AR" w:eastAsia="es-AR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nutriente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24" w:rsidRPr="00FF5D24" w:rsidRDefault="00FF5D24" w:rsidP="00FF5D2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F5D24">
              <w:rPr>
                <w:rFonts w:ascii="Arial" w:hAnsi="Arial" w:cs="Arial"/>
                <w:sz w:val="18"/>
                <w:szCs w:val="18"/>
                <w:lang w:val="en-US" w:eastAsia="en-US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24" w:rsidRPr="00FF5D24" w:rsidRDefault="00FF5D24" w:rsidP="00FF5D2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F5D24">
              <w:rPr>
                <w:rFonts w:ascii="Arial" w:hAnsi="Arial" w:cs="Arial"/>
                <w:sz w:val="18"/>
                <w:szCs w:val="18"/>
                <w:lang w:val="en-US" w:eastAsia="en-US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24" w:rsidRPr="00FF5D24" w:rsidRDefault="00FF5D24" w:rsidP="00FF5D2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F5D24">
              <w:rPr>
                <w:rFonts w:ascii="Arial" w:hAnsi="Arial" w:cs="Arial"/>
                <w:sz w:val="18"/>
                <w:szCs w:val="18"/>
                <w:lang w:val="en-US" w:eastAsia="en-US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24" w:rsidRPr="00FF5D24" w:rsidRDefault="00FF5D24" w:rsidP="00FF5D2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F5D24">
              <w:rPr>
                <w:rFonts w:ascii="Arial" w:hAnsi="Arial" w:cs="Arial"/>
                <w:sz w:val="18"/>
                <w:szCs w:val="18"/>
                <w:lang w:val="en-US" w:eastAsia="en-US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24" w:rsidRPr="00FF5D24" w:rsidRDefault="00FF5D24" w:rsidP="00FF5D2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F5D24">
              <w:rPr>
                <w:rFonts w:ascii="Arial" w:hAnsi="Arial" w:cs="Arial"/>
                <w:sz w:val="18"/>
                <w:szCs w:val="18"/>
                <w:lang w:val="en-US" w:eastAsia="en-US"/>
              </w:rPr>
              <w:t>28.9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24" w:rsidRPr="00FF5D24" w:rsidRDefault="00FF5D24" w:rsidP="00FF5D2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F5D24">
              <w:rPr>
                <w:rFonts w:ascii="Arial" w:hAnsi="Arial" w:cs="Arial"/>
                <w:sz w:val="18"/>
                <w:szCs w:val="18"/>
                <w:lang w:val="en-US" w:eastAsia="en-US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24" w:rsidRPr="00FF5D24" w:rsidRDefault="00FF5D24" w:rsidP="00FF5D2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F5D24">
              <w:rPr>
                <w:rFonts w:ascii="Arial" w:hAnsi="Arial" w:cs="Arial"/>
                <w:sz w:val="18"/>
                <w:szCs w:val="18"/>
                <w:lang w:val="en-US" w:eastAsia="en-US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24" w:rsidRPr="00FF5D24" w:rsidRDefault="00FF5D24" w:rsidP="00FF5D2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F5D24">
              <w:rPr>
                <w:rFonts w:ascii="Arial" w:hAnsi="Arial" w:cs="Arial"/>
                <w:sz w:val="18"/>
                <w:szCs w:val="18"/>
                <w:lang w:val="en-US" w:eastAsia="en-US"/>
              </w:rPr>
              <w:t>5.8</w:t>
            </w:r>
          </w:p>
        </w:tc>
      </w:tr>
      <w:tr w:rsidR="00FF5D24" w:rsidRPr="00FF5D24" w:rsidTr="00FF5D24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24" w:rsidRPr="00FF5D24" w:rsidRDefault="00FF5D24" w:rsidP="00FF5D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FF5D24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CV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24" w:rsidRPr="00FF5D24" w:rsidRDefault="00FF5D24" w:rsidP="00FF5D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FF5D24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24" w:rsidRPr="00FF5D24" w:rsidRDefault="00FF5D24" w:rsidP="00FF5D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FF5D24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24" w:rsidRPr="00FF5D24" w:rsidRDefault="00FF5D24" w:rsidP="00FF5D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FF5D24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24" w:rsidRPr="00FF5D24" w:rsidRDefault="00FF5D24" w:rsidP="00FF5D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FF5D24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24" w:rsidRPr="00FF5D24" w:rsidRDefault="00FF5D24" w:rsidP="00FF5D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FF5D24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24" w:rsidRPr="00FF5D24" w:rsidRDefault="00FF5D24" w:rsidP="00FF5D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FF5D24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24" w:rsidRPr="00FF5D24" w:rsidRDefault="00FF5D24" w:rsidP="00FF5D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FF5D24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24" w:rsidRPr="00FF5D24" w:rsidRDefault="00FF5D24" w:rsidP="00FF5D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FF5D24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13%</w:t>
            </w:r>
          </w:p>
        </w:tc>
      </w:tr>
    </w:tbl>
    <w:p w:rsidR="00883FC5" w:rsidRDefault="00B07F5D" w:rsidP="00883FC5">
      <w:pPr>
        <w:autoSpaceDE w:val="0"/>
        <w:autoSpaceDN w:val="0"/>
        <w:adjustRightInd w:val="0"/>
        <w:spacing w:line="288" w:lineRule="auto"/>
        <w:outlineLvl w:val="0"/>
        <w:rPr>
          <w:rFonts w:ascii="Arial" w:eastAsia="Calibri" w:hAnsi="Arial" w:cs="Arial"/>
          <w:sz w:val="22"/>
          <w:szCs w:val="22"/>
          <w:lang w:val="es-AR" w:eastAsia="es-AR"/>
        </w:rPr>
      </w:pPr>
      <w:r>
        <w:rPr>
          <w:rFonts w:ascii="Arial" w:eastAsia="Calibri" w:hAnsi="Arial" w:cs="Arial"/>
          <w:noProof/>
          <w:sz w:val="22"/>
          <w:szCs w:val="22"/>
          <w:lang w:val="es-AR" w:eastAsia="es-AR"/>
        </w:rPr>
        <w:drawing>
          <wp:inline distT="0" distB="0" distL="0" distR="0">
            <wp:extent cx="6107430" cy="3329940"/>
            <wp:effectExtent l="19050" t="0" r="7620" b="0"/>
            <wp:docPr id="10" name="Picture 10" descr="C:\Users\acorrendo\Google Drive\CACS 2014\FINAL\Fig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orrendo\Google Drive\CACS 2014\FINAL\Fig 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FC5" w:rsidRPr="00BE1297" w:rsidRDefault="00883FC5" w:rsidP="00883FC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Cs/>
          <w:color w:val="000000"/>
          <w:sz w:val="18"/>
          <w:szCs w:val="20"/>
        </w:rPr>
      </w:pPr>
      <w:r w:rsidRPr="00BE1297">
        <w:rPr>
          <w:rFonts w:ascii="Arial" w:hAnsi="Arial" w:cs="Arial"/>
          <w:b/>
          <w:sz w:val="18"/>
          <w:szCs w:val="20"/>
        </w:rPr>
        <w:t>Figura 1</w:t>
      </w:r>
      <w:r w:rsidRPr="00BE1297">
        <w:rPr>
          <w:rFonts w:ascii="Arial" w:hAnsi="Arial" w:cs="Arial"/>
          <w:sz w:val="18"/>
          <w:szCs w:val="20"/>
        </w:rPr>
        <w:t>. Producción acumulada de granos según los diferentes tratamientos de fertilización en los 5 sitios evaluados.</w:t>
      </w:r>
      <w:r w:rsidRPr="00BE1297">
        <w:rPr>
          <w:rFonts w:ascii="Arial" w:hAnsi="Arial" w:cs="Arial"/>
          <w:iCs/>
          <w:color w:val="000000"/>
          <w:sz w:val="18"/>
          <w:szCs w:val="20"/>
        </w:rPr>
        <w:t xml:space="preserve"> Red de Nutrición </w:t>
      </w:r>
      <w:r w:rsidR="00B35F6F" w:rsidRPr="00BE1297">
        <w:rPr>
          <w:rFonts w:ascii="Arial" w:hAnsi="Arial" w:cs="Arial"/>
          <w:iCs/>
          <w:color w:val="000000"/>
          <w:sz w:val="18"/>
          <w:szCs w:val="20"/>
        </w:rPr>
        <w:t xml:space="preserve">Campañas 2000/01 a 2012/13. Red de Nutrición de la Región CREA Sur de Santa Fe.  </w:t>
      </w:r>
      <w:r w:rsidRPr="00BE1297">
        <w:rPr>
          <w:rFonts w:ascii="Arial" w:hAnsi="Arial" w:cs="Arial"/>
          <w:iCs/>
          <w:color w:val="000000"/>
          <w:sz w:val="18"/>
          <w:szCs w:val="20"/>
        </w:rPr>
        <w:t>Letras distintas indican diferencias significativas entre tratamientos dentro de un mismo sitio, según Tukey al 5%.</w:t>
      </w:r>
    </w:p>
    <w:p w:rsidR="00883FC5" w:rsidRPr="00883FC5" w:rsidRDefault="00883FC5" w:rsidP="00312CE7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Arial" w:eastAsia="Calibri" w:hAnsi="Arial" w:cs="Arial"/>
          <w:b/>
          <w:sz w:val="22"/>
          <w:szCs w:val="22"/>
          <w:lang w:eastAsia="es-AR"/>
        </w:rPr>
      </w:pPr>
    </w:p>
    <w:p w:rsidR="00C72262" w:rsidRPr="00BE1297" w:rsidRDefault="00634193" w:rsidP="00312CE7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Arial" w:eastAsia="Calibri" w:hAnsi="Arial" w:cs="Arial"/>
          <w:sz w:val="22"/>
          <w:szCs w:val="22"/>
          <w:lang w:val="es-AR" w:eastAsia="es-AR"/>
        </w:rPr>
      </w:pPr>
      <w:r>
        <w:rPr>
          <w:rFonts w:ascii="Arial" w:eastAsia="Calibri" w:hAnsi="Arial" w:cs="Arial"/>
          <w:sz w:val="22"/>
          <w:szCs w:val="22"/>
          <w:lang w:val="es-AR" w:eastAsia="es-AR"/>
        </w:rPr>
        <w:t>Por otra parte, l</w:t>
      </w:r>
      <w:r w:rsidR="00883FC5">
        <w:rPr>
          <w:rFonts w:ascii="Arial" w:eastAsia="Calibri" w:hAnsi="Arial" w:cs="Arial"/>
          <w:sz w:val="22"/>
          <w:szCs w:val="22"/>
          <w:lang w:val="es-AR" w:eastAsia="es-AR"/>
        </w:rPr>
        <w:t xml:space="preserve">os sitios bajo rotación </w:t>
      </w:r>
      <w:r w:rsidR="00947FB4">
        <w:rPr>
          <w:rFonts w:ascii="Arial" w:eastAsia="Calibri" w:hAnsi="Arial" w:cs="Arial"/>
          <w:sz w:val="22"/>
          <w:szCs w:val="22"/>
          <w:lang w:val="es-AR" w:eastAsia="es-AR"/>
        </w:rPr>
        <w:t>M-</w:t>
      </w:r>
      <w:proofErr w:type="spellStart"/>
      <w:r w:rsidR="00947FB4">
        <w:rPr>
          <w:rFonts w:ascii="Arial" w:eastAsia="Calibri" w:hAnsi="Arial" w:cs="Arial"/>
          <w:sz w:val="22"/>
          <w:szCs w:val="22"/>
          <w:lang w:val="es-AR" w:eastAsia="es-AR"/>
        </w:rPr>
        <w:t>S</w:t>
      </w:r>
      <w:r w:rsidR="005C78B1">
        <w:rPr>
          <w:rFonts w:ascii="Arial" w:eastAsia="Calibri" w:hAnsi="Arial" w:cs="Arial"/>
          <w:sz w:val="22"/>
          <w:szCs w:val="22"/>
          <w:lang w:val="es-AR" w:eastAsia="es-AR"/>
        </w:rPr>
        <w:t>j</w:t>
      </w:r>
      <w:proofErr w:type="spellEnd"/>
      <w:r w:rsidR="00947FB4">
        <w:rPr>
          <w:rFonts w:ascii="Arial" w:eastAsia="Calibri" w:hAnsi="Arial" w:cs="Arial"/>
          <w:sz w:val="22"/>
          <w:szCs w:val="22"/>
          <w:lang w:val="es-AR" w:eastAsia="es-AR"/>
        </w:rPr>
        <w:t>-T/</w:t>
      </w:r>
      <w:proofErr w:type="spellStart"/>
      <w:r w:rsidR="00947FB4">
        <w:rPr>
          <w:rFonts w:ascii="Arial" w:eastAsia="Calibri" w:hAnsi="Arial" w:cs="Arial"/>
          <w:sz w:val="22"/>
          <w:szCs w:val="22"/>
          <w:lang w:val="es-AR" w:eastAsia="es-AR"/>
        </w:rPr>
        <w:t>S</w:t>
      </w:r>
      <w:r w:rsidR="005C78B1">
        <w:rPr>
          <w:rFonts w:ascii="Arial" w:eastAsia="Calibri" w:hAnsi="Arial" w:cs="Arial"/>
          <w:sz w:val="22"/>
          <w:szCs w:val="22"/>
          <w:lang w:val="es-AR" w:eastAsia="es-AR"/>
        </w:rPr>
        <w:t>j</w:t>
      </w:r>
      <w:proofErr w:type="spellEnd"/>
      <w:r w:rsidR="00883FC5">
        <w:rPr>
          <w:rFonts w:ascii="Arial" w:eastAsia="Calibri" w:hAnsi="Arial" w:cs="Arial"/>
          <w:sz w:val="22"/>
          <w:szCs w:val="22"/>
          <w:lang w:val="es-AR" w:eastAsia="es-AR"/>
        </w:rPr>
        <w:t>, present</w:t>
      </w:r>
      <w:r w:rsidR="007A73C8">
        <w:rPr>
          <w:rFonts w:ascii="Arial" w:eastAsia="Calibri" w:hAnsi="Arial" w:cs="Arial"/>
          <w:sz w:val="22"/>
          <w:szCs w:val="22"/>
          <w:lang w:val="es-AR" w:eastAsia="es-AR"/>
        </w:rPr>
        <w:t>aron</w:t>
      </w:r>
      <w:r w:rsidR="00883FC5">
        <w:rPr>
          <w:rFonts w:ascii="Arial" w:eastAsia="Calibri" w:hAnsi="Arial" w:cs="Arial"/>
          <w:sz w:val="22"/>
          <w:szCs w:val="22"/>
          <w:lang w:val="es-AR" w:eastAsia="es-AR"/>
        </w:rPr>
        <w:t xml:space="preserve"> márgenes por fertilización</w:t>
      </w:r>
      <w:r w:rsidR="00182A1A">
        <w:rPr>
          <w:rFonts w:ascii="Arial" w:eastAsia="Calibri" w:hAnsi="Arial" w:cs="Arial"/>
          <w:sz w:val="22"/>
          <w:szCs w:val="22"/>
          <w:lang w:val="es-AR" w:eastAsia="es-AR"/>
        </w:rPr>
        <w:t xml:space="preserve"> relativamente</w:t>
      </w:r>
      <w:r w:rsidR="00883FC5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883FC5" w:rsidRPr="00BE1297">
        <w:rPr>
          <w:rFonts w:ascii="Arial" w:eastAsia="Calibri" w:hAnsi="Arial" w:cs="Arial"/>
          <w:sz w:val="22"/>
          <w:szCs w:val="22"/>
          <w:lang w:val="es-AR" w:eastAsia="es-AR"/>
        </w:rPr>
        <w:t>menores</w:t>
      </w:r>
      <w:r w:rsidR="007A73C8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respecto de la rotación </w:t>
      </w:r>
      <w:r w:rsidR="00947FB4" w:rsidRPr="00BE1297">
        <w:rPr>
          <w:rFonts w:ascii="Arial" w:eastAsia="Calibri" w:hAnsi="Arial" w:cs="Arial"/>
          <w:sz w:val="22"/>
          <w:szCs w:val="22"/>
          <w:lang w:val="es-AR" w:eastAsia="es-AR"/>
        </w:rPr>
        <w:t>M-T/</w:t>
      </w:r>
      <w:proofErr w:type="spellStart"/>
      <w:r w:rsidR="00947FB4" w:rsidRPr="00BE1297">
        <w:rPr>
          <w:rFonts w:ascii="Arial" w:eastAsia="Calibri" w:hAnsi="Arial" w:cs="Arial"/>
          <w:sz w:val="22"/>
          <w:szCs w:val="22"/>
          <w:lang w:val="es-AR" w:eastAsia="es-AR"/>
        </w:rPr>
        <w:t>S</w:t>
      </w:r>
      <w:r w:rsidR="005C78B1" w:rsidRPr="00BE1297">
        <w:rPr>
          <w:rFonts w:ascii="Arial" w:eastAsia="Calibri" w:hAnsi="Arial" w:cs="Arial"/>
          <w:sz w:val="22"/>
          <w:szCs w:val="22"/>
          <w:lang w:val="es-AR" w:eastAsia="es-AR"/>
        </w:rPr>
        <w:t>j</w:t>
      </w:r>
      <w:proofErr w:type="spellEnd"/>
      <w:r w:rsidR="00182A1A" w:rsidRPr="00BE1297">
        <w:rPr>
          <w:rFonts w:ascii="Arial" w:eastAsia="Calibri" w:hAnsi="Arial" w:cs="Arial"/>
          <w:sz w:val="22"/>
          <w:szCs w:val="22"/>
          <w:lang w:val="es-AR" w:eastAsia="es-AR"/>
        </w:rPr>
        <w:t>, principalmente debido a las diferentes proporciones de maíz y soja en la rotación, que son los cultivos que más y menos respondieron a la fertilización</w:t>
      </w:r>
      <w:r w:rsidR="00980439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(Figura 1), y que más y menos inversión en fertilizantes registraron</w:t>
      </w:r>
      <w:r w:rsidR="00182A1A" w:rsidRPr="00BE1297">
        <w:rPr>
          <w:rFonts w:ascii="Arial" w:eastAsia="Calibri" w:hAnsi="Arial" w:cs="Arial"/>
          <w:sz w:val="22"/>
          <w:szCs w:val="22"/>
          <w:lang w:val="es-AR" w:eastAsia="es-AR"/>
        </w:rPr>
        <w:t>, respectivamente</w:t>
      </w:r>
      <w:r w:rsidR="007A73C8" w:rsidRPr="00BE1297">
        <w:rPr>
          <w:rFonts w:ascii="Arial" w:eastAsia="Calibri" w:hAnsi="Arial" w:cs="Arial"/>
          <w:sz w:val="22"/>
          <w:szCs w:val="22"/>
          <w:lang w:val="es-AR" w:eastAsia="es-AR"/>
        </w:rPr>
        <w:t>.</w:t>
      </w:r>
      <w:r w:rsidR="00883FC5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C72262" w:rsidRPr="00BE1297">
        <w:rPr>
          <w:rFonts w:ascii="Arial" w:eastAsia="Calibri" w:hAnsi="Arial" w:cs="Arial"/>
          <w:sz w:val="22"/>
          <w:szCs w:val="22"/>
          <w:lang w:val="es-AR" w:eastAsia="es-AR"/>
        </w:rPr>
        <w:t>El sitio La Blanca registró</w:t>
      </w:r>
      <w:r w:rsidR="007A73C8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0E2B27" w:rsidRPr="00BE1297">
        <w:rPr>
          <w:rFonts w:ascii="Arial" w:eastAsia="Calibri" w:hAnsi="Arial" w:cs="Arial"/>
          <w:sz w:val="22"/>
          <w:szCs w:val="22"/>
          <w:lang w:val="es-AR" w:eastAsia="es-AR"/>
        </w:rPr>
        <w:t>má</w:t>
      </w:r>
      <w:r w:rsidR="007A73C8" w:rsidRPr="00BE1297">
        <w:rPr>
          <w:rFonts w:ascii="Arial" w:eastAsia="Calibri" w:hAnsi="Arial" w:cs="Arial"/>
          <w:sz w:val="22"/>
          <w:szCs w:val="22"/>
          <w:lang w:val="es-AR" w:eastAsia="es-AR"/>
        </w:rPr>
        <w:t>rgen</w:t>
      </w:r>
      <w:r w:rsidR="000E2B27" w:rsidRPr="00BE1297">
        <w:rPr>
          <w:rFonts w:ascii="Arial" w:eastAsia="Calibri" w:hAnsi="Arial" w:cs="Arial"/>
          <w:sz w:val="22"/>
          <w:szCs w:val="22"/>
          <w:lang w:val="es-AR" w:eastAsia="es-AR"/>
        </w:rPr>
        <w:t>es</w:t>
      </w:r>
      <w:r w:rsidR="007A73C8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acumulado</w:t>
      </w:r>
      <w:r w:rsidR="000E2B27" w:rsidRPr="00BE1297">
        <w:rPr>
          <w:rFonts w:ascii="Arial" w:eastAsia="Calibri" w:hAnsi="Arial" w:cs="Arial"/>
          <w:sz w:val="22"/>
          <w:szCs w:val="22"/>
          <w:lang w:val="es-AR" w:eastAsia="es-AR"/>
        </w:rPr>
        <w:t>s por</w:t>
      </w:r>
      <w:r w:rsidR="00C72262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35325E">
        <w:rPr>
          <w:rFonts w:ascii="Arial" w:eastAsia="Calibri" w:hAnsi="Arial" w:cs="Arial"/>
          <w:sz w:val="22"/>
          <w:szCs w:val="22"/>
          <w:lang w:val="es-AR" w:eastAsia="es-AR"/>
        </w:rPr>
        <w:t>1659</w:t>
      </w:r>
      <w:r w:rsidR="00C72262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, </w:t>
      </w:r>
      <w:r w:rsidR="0035325E">
        <w:rPr>
          <w:rFonts w:ascii="Arial" w:eastAsia="Calibri" w:hAnsi="Arial" w:cs="Arial"/>
          <w:sz w:val="22"/>
          <w:szCs w:val="22"/>
          <w:lang w:val="es-AR" w:eastAsia="es-AR"/>
        </w:rPr>
        <w:t>1604</w:t>
      </w:r>
      <w:r w:rsidR="00C72262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, </w:t>
      </w:r>
      <w:r w:rsidR="0035325E">
        <w:rPr>
          <w:rFonts w:ascii="Arial" w:eastAsia="Calibri" w:hAnsi="Arial" w:cs="Arial"/>
          <w:sz w:val="22"/>
          <w:szCs w:val="22"/>
          <w:lang w:val="es-AR" w:eastAsia="es-AR"/>
        </w:rPr>
        <w:t>1094</w:t>
      </w:r>
      <w:r w:rsidR="00C72262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, y </w:t>
      </w:r>
      <w:r w:rsidR="0035325E">
        <w:rPr>
          <w:rFonts w:ascii="Arial" w:eastAsia="Calibri" w:hAnsi="Arial" w:cs="Arial"/>
          <w:sz w:val="22"/>
          <w:szCs w:val="22"/>
          <w:lang w:val="es-AR" w:eastAsia="es-AR"/>
        </w:rPr>
        <w:t>2034</w:t>
      </w:r>
      <w:r w:rsidR="00C72262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US</w:t>
      </w:r>
      <w:r w:rsidR="0090277E">
        <w:rPr>
          <w:rFonts w:ascii="Arial" w:eastAsia="Calibri" w:hAnsi="Arial" w:cs="Arial"/>
          <w:sz w:val="22"/>
          <w:szCs w:val="22"/>
          <w:lang w:val="es-AR" w:eastAsia="es-AR"/>
        </w:rPr>
        <w:t>$</w:t>
      </w:r>
      <w:r w:rsidR="00C72262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ha</w:t>
      </w:r>
      <w:r w:rsidR="00C72262" w:rsidRPr="00BE1297">
        <w:rPr>
          <w:rFonts w:ascii="Arial" w:eastAsia="Calibri" w:hAnsi="Arial" w:cs="Arial"/>
          <w:sz w:val="22"/>
          <w:szCs w:val="22"/>
          <w:vertAlign w:val="superscript"/>
          <w:lang w:val="es-AR" w:eastAsia="es-AR"/>
        </w:rPr>
        <w:t>-1</w:t>
      </w:r>
      <w:r w:rsidR="007A73C8" w:rsidRPr="00BE1297">
        <w:rPr>
          <w:rFonts w:ascii="Arial" w:eastAsia="Calibri" w:hAnsi="Arial" w:cs="Arial"/>
          <w:sz w:val="22"/>
          <w:szCs w:val="22"/>
          <w:vertAlign w:val="superscript"/>
          <w:lang w:val="es-AR" w:eastAsia="es-AR"/>
        </w:rPr>
        <w:t xml:space="preserve"> </w:t>
      </w:r>
      <w:r w:rsidR="007A73C8" w:rsidRPr="00BE1297">
        <w:rPr>
          <w:rFonts w:ascii="Arial" w:eastAsia="Calibri" w:hAnsi="Arial" w:cs="Arial"/>
          <w:sz w:val="22"/>
          <w:szCs w:val="22"/>
          <w:lang w:val="es-AR" w:eastAsia="es-AR"/>
        </w:rPr>
        <w:t>para PS, NS, NP y NPS, respectivamente.</w:t>
      </w:r>
      <w:r w:rsidR="000E2B2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Para los mismos tratamientos, en </w:t>
      </w:r>
      <w:r w:rsidR="00C72262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La Hansa </w:t>
      </w:r>
      <w:r w:rsidR="000E2B2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se obtuvieron beneficios por </w:t>
      </w:r>
      <w:r w:rsidR="0035325E">
        <w:rPr>
          <w:rFonts w:ascii="Arial" w:eastAsia="Calibri" w:hAnsi="Arial" w:cs="Arial"/>
          <w:sz w:val="22"/>
          <w:szCs w:val="22"/>
          <w:lang w:val="es-AR" w:eastAsia="es-AR"/>
        </w:rPr>
        <w:t>901</w:t>
      </w:r>
      <w:r w:rsidR="00C72262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, </w:t>
      </w:r>
      <w:r w:rsidR="0035325E">
        <w:rPr>
          <w:rFonts w:ascii="Arial" w:eastAsia="Calibri" w:hAnsi="Arial" w:cs="Arial"/>
          <w:sz w:val="22"/>
          <w:szCs w:val="22"/>
          <w:lang w:val="es-AR" w:eastAsia="es-AR"/>
        </w:rPr>
        <w:t>2296</w:t>
      </w:r>
      <w:r w:rsidR="00C72262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, </w:t>
      </w:r>
      <w:r w:rsidR="0035325E">
        <w:rPr>
          <w:rFonts w:ascii="Arial" w:eastAsia="Calibri" w:hAnsi="Arial" w:cs="Arial"/>
          <w:sz w:val="22"/>
          <w:szCs w:val="22"/>
          <w:lang w:val="es-AR" w:eastAsia="es-AR"/>
        </w:rPr>
        <w:t>6</w:t>
      </w:r>
      <w:r w:rsidR="00C72262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53 y </w:t>
      </w:r>
      <w:r w:rsidR="0035325E">
        <w:rPr>
          <w:rFonts w:ascii="Arial" w:eastAsia="Calibri" w:hAnsi="Arial" w:cs="Arial"/>
          <w:sz w:val="22"/>
          <w:szCs w:val="22"/>
          <w:lang w:val="es-AR" w:eastAsia="es-AR"/>
        </w:rPr>
        <w:t>2279</w:t>
      </w:r>
      <w:r w:rsidR="00C72262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US</w:t>
      </w:r>
      <w:r w:rsidR="0090277E">
        <w:rPr>
          <w:rFonts w:ascii="Arial" w:eastAsia="Calibri" w:hAnsi="Arial" w:cs="Arial"/>
          <w:sz w:val="22"/>
          <w:szCs w:val="22"/>
          <w:lang w:val="es-AR" w:eastAsia="es-AR"/>
        </w:rPr>
        <w:t>$</w:t>
      </w:r>
      <w:r w:rsidR="00C72262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ha</w:t>
      </w:r>
      <w:r w:rsidR="00C72262" w:rsidRPr="00BE1297">
        <w:rPr>
          <w:rFonts w:ascii="Arial" w:eastAsia="Calibri" w:hAnsi="Arial" w:cs="Arial"/>
          <w:sz w:val="22"/>
          <w:szCs w:val="22"/>
          <w:vertAlign w:val="superscript"/>
          <w:lang w:val="es-AR" w:eastAsia="es-AR"/>
        </w:rPr>
        <w:t>-1</w:t>
      </w:r>
      <w:r w:rsidR="000E2B27" w:rsidRPr="00BE1297">
        <w:rPr>
          <w:rFonts w:ascii="Arial" w:eastAsia="Calibri" w:hAnsi="Arial" w:cs="Arial"/>
          <w:sz w:val="22"/>
          <w:szCs w:val="22"/>
          <w:lang w:val="es-AR" w:eastAsia="es-AR"/>
        </w:rPr>
        <w:t>, y en</w:t>
      </w:r>
      <w:r w:rsidR="00C72262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Lambaré </w:t>
      </w:r>
      <w:r w:rsidR="0035325E">
        <w:rPr>
          <w:rFonts w:ascii="Arial" w:eastAsia="Calibri" w:hAnsi="Arial" w:cs="Arial"/>
          <w:sz w:val="22"/>
          <w:szCs w:val="22"/>
          <w:lang w:val="es-AR" w:eastAsia="es-AR"/>
        </w:rPr>
        <w:t xml:space="preserve">los márgenes fueron </w:t>
      </w:r>
      <w:r w:rsidR="0035325E">
        <w:rPr>
          <w:rFonts w:ascii="Arial" w:eastAsia="Calibri" w:hAnsi="Arial" w:cs="Arial"/>
          <w:sz w:val="22"/>
          <w:szCs w:val="22"/>
          <w:lang w:val="es-AR" w:eastAsia="es-AR"/>
        </w:rPr>
        <w:lastRenderedPageBreak/>
        <w:t>de -280</w:t>
      </w:r>
      <w:r w:rsidR="00C72262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, </w:t>
      </w:r>
      <w:r w:rsidR="0035325E">
        <w:rPr>
          <w:rFonts w:ascii="Arial" w:eastAsia="Calibri" w:hAnsi="Arial" w:cs="Arial"/>
          <w:sz w:val="22"/>
          <w:szCs w:val="22"/>
          <w:lang w:val="es-AR" w:eastAsia="es-AR"/>
        </w:rPr>
        <w:t>1005</w:t>
      </w:r>
      <w:r w:rsidR="00C72262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, </w:t>
      </w:r>
      <w:r w:rsidR="0035325E">
        <w:rPr>
          <w:rFonts w:ascii="Arial" w:eastAsia="Calibri" w:hAnsi="Arial" w:cs="Arial"/>
          <w:sz w:val="22"/>
          <w:szCs w:val="22"/>
          <w:lang w:val="es-AR" w:eastAsia="es-AR"/>
        </w:rPr>
        <w:t>-435</w:t>
      </w:r>
      <w:r w:rsidR="00C72262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y </w:t>
      </w:r>
      <w:r w:rsidR="0035325E">
        <w:rPr>
          <w:rFonts w:ascii="Arial" w:eastAsia="Calibri" w:hAnsi="Arial" w:cs="Arial"/>
          <w:sz w:val="22"/>
          <w:szCs w:val="22"/>
          <w:lang w:val="es-AR" w:eastAsia="es-AR"/>
        </w:rPr>
        <w:t>-761</w:t>
      </w:r>
      <w:r w:rsidR="00C72262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US</w:t>
      </w:r>
      <w:r w:rsidR="0035325E">
        <w:rPr>
          <w:rFonts w:ascii="Arial" w:eastAsia="Calibri" w:hAnsi="Arial" w:cs="Arial"/>
          <w:sz w:val="22"/>
          <w:szCs w:val="22"/>
          <w:lang w:val="es-AR" w:eastAsia="es-AR"/>
        </w:rPr>
        <w:t>$</w:t>
      </w:r>
      <w:r w:rsidR="00C72262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ha</w:t>
      </w:r>
      <w:r w:rsidR="00C72262" w:rsidRPr="00BE1297">
        <w:rPr>
          <w:rFonts w:ascii="Arial" w:eastAsia="Calibri" w:hAnsi="Arial" w:cs="Arial"/>
          <w:sz w:val="22"/>
          <w:szCs w:val="22"/>
          <w:vertAlign w:val="superscript"/>
          <w:lang w:val="es-AR" w:eastAsia="es-AR"/>
        </w:rPr>
        <w:t>-1</w:t>
      </w:r>
      <w:r w:rsidR="000D041C" w:rsidRPr="00BE1297">
        <w:rPr>
          <w:rFonts w:ascii="Arial" w:eastAsia="Calibri" w:hAnsi="Arial" w:cs="Arial"/>
          <w:sz w:val="22"/>
          <w:szCs w:val="22"/>
          <w:lang w:val="es-AR" w:eastAsia="es-AR"/>
        </w:rPr>
        <w:t>, respectivamente.</w:t>
      </w:r>
      <w:r w:rsidR="000E2B2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980439" w:rsidRPr="00BE1297">
        <w:rPr>
          <w:rFonts w:ascii="Arial" w:eastAsia="Calibri" w:hAnsi="Arial" w:cs="Arial"/>
          <w:sz w:val="22"/>
          <w:szCs w:val="22"/>
          <w:lang w:val="es-AR" w:eastAsia="es-AR"/>
        </w:rPr>
        <w:t>En este último</w:t>
      </w:r>
      <w:r w:rsidR="000D041C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sitio</w:t>
      </w:r>
      <w:r w:rsidR="00980439" w:rsidRPr="00BE1297">
        <w:rPr>
          <w:rFonts w:ascii="Arial" w:eastAsia="Calibri" w:hAnsi="Arial" w:cs="Arial"/>
          <w:sz w:val="22"/>
          <w:szCs w:val="22"/>
          <w:lang w:val="es-AR" w:eastAsia="es-AR"/>
        </w:rPr>
        <w:t>,</w:t>
      </w:r>
      <w:r w:rsidR="000E2B2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el único tratamiento con un beneficio neto fue NS</w:t>
      </w:r>
      <w:r w:rsidR="00BF44F7">
        <w:rPr>
          <w:rFonts w:ascii="Arial" w:eastAsia="Calibri" w:hAnsi="Arial" w:cs="Arial"/>
          <w:sz w:val="22"/>
          <w:szCs w:val="22"/>
          <w:lang w:val="es-AR" w:eastAsia="es-AR"/>
        </w:rPr>
        <w:t xml:space="preserve">, </w:t>
      </w:r>
      <w:r w:rsidR="00253B2A">
        <w:rPr>
          <w:rFonts w:ascii="Arial" w:eastAsia="Calibri" w:hAnsi="Arial" w:cs="Arial"/>
          <w:sz w:val="22"/>
          <w:szCs w:val="22"/>
          <w:lang w:val="es-AR" w:eastAsia="es-AR"/>
        </w:rPr>
        <w:t xml:space="preserve">mientras </w:t>
      </w:r>
      <w:r w:rsidR="00BF44F7">
        <w:rPr>
          <w:rFonts w:ascii="Arial" w:eastAsia="Calibri" w:hAnsi="Arial" w:cs="Arial"/>
          <w:sz w:val="22"/>
          <w:szCs w:val="22"/>
          <w:lang w:val="es-AR" w:eastAsia="es-AR"/>
        </w:rPr>
        <w:t>el resto</w:t>
      </w:r>
      <w:r w:rsidR="00D179B7">
        <w:rPr>
          <w:rFonts w:ascii="Arial" w:eastAsia="Calibri" w:hAnsi="Arial" w:cs="Arial"/>
          <w:sz w:val="22"/>
          <w:szCs w:val="22"/>
          <w:lang w:val="es-AR" w:eastAsia="es-AR"/>
        </w:rPr>
        <w:t xml:space="preserve"> de los tratamientos</w:t>
      </w:r>
      <w:r w:rsidR="00BF44F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90277E">
        <w:rPr>
          <w:rFonts w:ascii="Arial" w:eastAsia="Calibri" w:hAnsi="Arial" w:cs="Arial"/>
          <w:sz w:val="22"/>
          <w:szCs w:val="22"/>
          <w:lang w:val="es-AR" w:eastAsia="es-AR"/>
        </w:rPr>
        <w:t>-</w:t>
      </w:r>
      <w:r w:rsidR="00BF44F7">
        <w:rPr>
          <w:rFonts w:ascii="Arial" w:eastAsia="Calibri" w:hAnsi="Arial" w:cs="Arial"/>
          <w:sz w:val="22"/>
          <w:szCs w:val="22"/>
          <w:lang w:val="es-AR" w:eastAsia="es-AR"/>
        </w:rPr>
        <w:t>que incluy</w:t>
      </w:r>
      <w:r w:rsidR="0090277E">
        <w:rPr>
          <w:rFonts w:ascii="Arial" w:eastAsia="Calibri" w:hAnsi="Arial" w:cs="Arial"/>
          <w:sz w:val="22"/>
          <w:szCs w:val="22"/>
          <w:lang w:val="es-AR" w:eastAsia="es-AR"/>
        </w:rPr>
        <w:t>eron</w:t>
      </w:r>
      <w:r w:rsidR="00BF44F7">
        <w:rPr>
          <w:rFonts w:ascii="Arial" w:eastAsia="Calibri" w:hAnsi="Arial" w:cs="Arial"/>
          <w:sz w:val="22"/>
          <w:szCs w:val="22"/>
          <w:lang w:val="es-AR" w:eastAsia="es-AR"/>
        </w:rPr>
        <w:t xml:space="preserve"> P</w:t>
      </w:r>
      <w:r w:rsidR="003B65AC">
        <w:rPr>
          <w:rFonts w:ascii="Arial" w:eastAsia="Calibri" w:hAnsi="Arial" w:cs="Arial"/>
          <w:sz w:val="22"/>
          <w:szCs w:val="22"/>
          <w:lang w:val="es-AR" w:eastAsia="es-AR"/>
        </w:rPr>
        <w:t xml:space="preserve"> en dosis de reposición</w:t>
      </w:r>
      <w:r w:rsidR="0090277E">
        <w:rPr>
          <w:rFonts w:ascii="Arial" w:eastAsia="Calibri" w:hAnsi="Arial" w:cs="Arial"/>
          <w:sz w:val="22"/>
          <w:szCs w:val="22"/>
          <w:lang w:val="es-AR" w:eastAsia="es-AR"/>
        </w:rPr>
        <w:t>-</w:t>
      </w:r>
      <w:r w:rsidR="00BF44F7">
        <w:rPr>
          <w:rFonts w:ascii="Arial" w:eastAsia="Calibri" w:hAnsi="Arial" w:cs="Arial"/>
          <w:sz w:val="22"/>
          <w:szCs w:val="22"/>
          <w:lang w:val="es-AR" w:eastAsia="es-AR"/>
        </w:rPr>
        <w:t xml:space="preserve">, </w:t>
      </w:r>
      <w:r w:rsidR="00D179B7">
        <w:rPr>
          <w:rFonts w:ascii="Arial" w:eastAsia="Calibri" w:hAnsi="Arial" w:cs="Arial"/>
          <w:sz w:val="22"/>
          <w:szCs w:val="22"/>
          <w:lang w:val="es-AR" w:eastAsia="es-AR"/>
        </w:rPr>
        <w:t>resultaron en márgenes negativos dada</w:t>
      </w:r>
      <w:r w:rsidR="00BF44F7">
        <w:rPr>
          <w:rFonts w:ascii="Arial" w:eastAsia="Calibri" w:hAnsi="Arial" w:cs="Arial"/>
          <w:sz w:val="22"/>
          <w:szCs w:val="22"/>
          <w:lang w:val="es-AR" w:eastAsia="es-AR"/>
        </w:rPr>
        <w:t xml:space="preserve">  la baja respuesta</w:t>
      </w:r>
      <w:r w:rsidR="00D179B7" w:rsidRPr="00D179B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D179B7">
        <w:rPr>
          <w:rFonts w:ascii="Arial" w:eastAsia="Calibri" w:hAnsi="Arial" w:cs="Arial"/>
          <w:sz w:val="22"/>
          <w:szCs w:val="22"/>
          <w:lang w:val="es-AR" w:eastAsia="es-AR"/>
        </w:rPr>
        <w:t>a causa de los altos niveles de P en el suelo</w:t>
      </w:r>
      <w:r w:rsidR="000E2B27" w:rsidRPr="00BE1297">
        <w:rPr>
          <w:rFonts w:ascii="Arial" w:eastAsia="Calibri" w:hAnsi="Arial" w:cs="Arial"/>
          <w:sz w:val="22"/>
          <w:szCs w:val="22"/>
          <w:lang w:val="es-AR" w:eastAsia="es-AR"/>
        </w:rPr>
        <w:t>.</w:t>
      </w:r>
      <w:r w:rsidR="0090277E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0E2B2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</w:p>
    <w:p w:rsidR="0014445A" w:rsidRDefault="0090277E" w:rsidP="00D278E9">
      <w:pPr>
        <w:autoSpaceDE w:val="0"/>
        <w:autoSpaceDN w:val="0"/>
        <w:adjustRightInd w:val="0"/>
        <w:spacing w:line="288" w:lineRule="auto"/>
        <w:jc w:val="center"/>
        <w:outlineLvl w:val="0"/>
        <w:rPr>
          <w:rFonts w:ascii="Arial" w:eastAsia="Calibri" w:hAnsi="Arial" w:cs="Arial"/>
          <w:sz w:val="22"/>
          <w:szCs w:val="22"/>
          <w:lang w:val="es-AR" w:eastAsia="es-AR"/>
        </w:rPr>
      </w:pPr>
      <w:r>
        <w:rPr>
          <w:rFonts w:ascii="Arial" w:eastAsia="Calibri" w:hAnsi="Arial" w:cs="Arial"/>
          <w:noProof/>
          <w:sz w:val="22"/>
          <w:szCs w:val="22"/>
          <w:lang w:val="es-AR" w:eastAsia="es-AR"/>
        </w:rPr>
        <w:drawing>
          <wp:inline distT="0" distB="0" distL="0" distR="0">
            <wp:extent cx="6120130" cy="3557270"/>
            <wp:effectExtent l="19050" t="0" r="0" b="0"/>
            <wp:docPr id="2" name="Picture 1" descr="Fig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2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5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9DB" w:rsidRDefault="00D459DB" w:rsidP="00D459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Cs/>
          <w:color w:val="000000"/>
          <w:sz w:val="18"/>
          <w:szCs w:val="20"/>
        </w:rPr>
      </w:pPr>
      <w:r w:rsidRPr="00BE1297">
        <w:rPr>
          <w:rFonts w:ascii="Arial" w:hAnsi="Arial" w:cs="Arial"/>
          <w:b/>
          <w:sz w:val="18"/>
          <w:szCs w:val="20"/>
        </w:rPr>
        <w:t>Figura 2</w:t>
      </w:r>
      <w:r w:rsidRPr="00BE1297">
        <w:rPr>
          <w:rFonts w:ascii="Arial" w:hAnsi="Arial" w:cs="Arial"/>
          <w:sz w:val="18"/>
          <w:szCs w:val="20"/>
        </w:rPr>
        <w:t xml:space="preserve">. </w:t>
      </w:r>
      <w:r w:rsidR="00017917" w:rsidRPr="00BE1297">
        <w:rPr>
          <w:rFonts w:ascii="Arial" w:hAnsi="Arial" w:cs="Arial"/>
          <w:sz w:val="18"/>
          <w:szCs w:val="20"/>
        </w:rPr>
        <w:t>Margen</w:t>
      </w:r>
      <w:r w:rsidRPr="00BE1297">
        <w:rPr>
          <w:rFonts w:ascii="Arial" w:hAnsi="Arial" w:cs="Arial"/>
          <w:sz w:val="18"/>
          <w:szCs w:val="20"/>
        </w:rPr>
        <w:t xml:space="preserve"> acumulado (</w:t>
      </w:r>
      <w:r w:rsidR="003B65AC">
        <w:rPr>
          <w:rFonts w:ascii="Arial" w:hAnsi="Arial" w:cs="Arial"/>
          <w:sz w:val="18"/>
          <w:szCs w:val="20"/>
        </w:rPr>
        <w:t>US$</w:t>
      </w:r>
      <w:r w:rsidRPr="00BE1297">
        <w:rPr>
          <w:rFonts w:ascii="Arial" w:hAnsi="Arial" w:cs="Arial"/>
          <w:sz w:val="18"/>
          <w:szCs w:val="20"/>
        </w:rPr>
        <w:t xml:space="preserve"> ha</w:t>
      </w:r>
      <w:r w:rsidRPr="00BE1297">
        <w:rPr>
          <w:rFonts w:ascii="Arial" w:hAnsi="Arial" w:cs="Arial"/>
          <w:sz w:val="18"/>
          <w:szCs w:val="20"/>
          <w:vertAlign w:val="superscript"/>
        </w:rPr>
        <w:t>-1</w:t>
      </w:r>
      <w:r w:rsidRPr="00BE1297">
        <w:rPr>
          <w:rFonts w:ascii="Arial" w:hAnsi="Arial" w:cs="Arial"/>
          <w:sz w:val="18"/>
          <w:szCs w:val="20"/>
        </w:rPr>
        <w:t>) por sobre el testigo no fertilizado para los diferentes tratamientos de fertilización en los 5 sitios evaluados.</w:t>
      </w:r>
      <w:r w:rsidRPr="00BE1297">
        <w:rPr>
          <w:rFonts w:ascii="Arial" w:hAnsi="Arial" w:cs="Arial"/>
          <w:iCs/>
          <w:color w:val="000000"/>
          <w:sz w:val="18"/>
          <w:szCs w:val="20"/>
        </w:rPr>
        <w:t xml:space="preserve"> </w:t>
      </w:r>
      <w:r w:rsidR="00B35F6F" w:rsidRPr="00BE1297">
        <w:rPr>
          <w:rFonts w:ascii="Arial" w:hAnsi="Arial" w:cs="Arial"/>
          <w:iCs/>
          <w:color w:val="000000"/>
          <w:sz w:val="18"/>
          <w:szCs w:val="20"/>
        </w:rPr>
        <w:t xml:space="preserve">Campañas 2000/01 a 2012/13. </w:t>
      </w:r>
      <w:r w:rsidRPr="00BE1297">
        <w:rPr>
          <w:rFonts w:ascii="Arial" w:hAnsi="Arial" w:cs="Arial"/>
          <w:iCs/>
          <w:color w:val="000000"/>
          <w:sz w:val="18"/>
          <w:szCs w:val="20"/>
        </w:rPr>
        <w:t xml:space="preserve">Red de Nutrición </w:t>
      </w:r>
      <w:r w:rsidR="00B35F6F" w:rsidRPr="00BE1297">
        <w:rPr>
          <w:rFonts w:ascii="Arial" w:hAnsi="Arial" w:cs="Arial"/>
          <w:iCs/>
          <w:color w:val="000000"/>
          <w:sz w:val="18"/>
          <w:szCs w:val="20"/>
        </w:rPr>
        <w:t xml:space="preserve">de la </w:t>
      </w:r>
      <w:r w:rsidRPr="00BE1297">
        <w:rPr>
          <w:rFonts w:ascii="Arial" w:hAnsi="Arial" w:cs="Arial"/>
          <w:iCs/>
          <w:color w:val="000000"/>
          <w:sz w:val="18"/>
          <w:szCs w:val="20"/>
        </w:rPr>
        <w:t xml:space="preserve">Región CREA Sur de Santa Fe.  Las barras indican el error estándar. *Diferencias significativas entre tratamientos, dentro de una misma campaña en cada sitio, según Tukey al 5%. </w:t>
      </w:r>
    </w:p>
    <w:p w:rsidR="00253B2A" w:rsidRPr="00BE1297" w:rsidRDefault="00253B2A" w:rsidP="00D459DB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18"/>
          <w:szCs w:val="22"/>
          <w:lang w:val="es-AR" w:eastAsia="es-AR"/>
        </w:rPr>
      </w:pPr>
    </w:p>
    <w:p w:rsidR="00D278E9" w:rsidRPr="00BE1297" w:rsidRDefault="00CB4CA9" w:rsidP="00D278E9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Arial" w:eastAsia="Calibri" w:hAnsi="Arial" w:cs="Arial"/>
          <w:sz w:val="22"/>
          <w:szCs w:val="22"/>
          <w:lang w:val="es-AR" w:eastAsia="es-AR"/>
        </w:rPr>
      </w:pPr>
      <w:r w:rsidRPr="00BE1297">
        <w:rPr>
          <w:rFonts w:ascii="Arial" w:eastAsia="Calibri" w:hAnsi="Arial" w:cs="Arial"/>
          <w:sz w:val="22"/>
          <w:szCs w:val="22"/>
          <w:lang w:val="es-AR" w:eastAsia="es-AR"/>
        </w:rPr>
        <w:t>En la Figura 3 se detalla el retorno de la inversión en fertilización</w:t>
      </w:r>
      <w:r w:rsidR="0028098A" w:rsidRPr="00BE1297">
        <w:rPr>
          <w:rFonts w:ascii="Arial" w:eastAsia="Calibri" w:hAnsi="Arial" w:cs="Arial"/>
          <w:sz w:val="22"/>
          <w:szCs w:val="22"/>
          <w:lang w:val="es-AR" w:eastAsia="es-AR"/>
        </w:rPr>
        <w:t>, al final de la decimo-tercera campaña,</w:t>
      </w:r>
      <w:r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8F4867" w:rsidRPr="00BE1297">
        <w:rPr>
          <w:rFonts w:ascii="Arial" w:eastAsia="Calibri" w:hAnsi="Arial" w:cs="Arial"/>
          <w:sz w:val="22"/>
          <w:szCs w:val="22"/>
          <w:lang w:val="es-AR" w:eastAsia="es-AR"/>
        </w:rPr>
        <w:t>para</w:t>
      </w:r>
      <w:r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cada sitio según el manejo de la nutrición. </w:t>
      </w:r>
      <w:r w:rsidR="008F4867" w:rsidRPr="00BE1297">
        <w:rPr>
          <w:rFonts w:ascii="Arial" w:eastAsia="Calibri" w:hAnsi="Arial" w:cs="Arial"/>
          <w:sz w:val="22"/>
          <w:szCs w:val="22"/>
          <w:lang w:val="es-AR" w:eastAsia="es-AR"/>
        </w:rPr>
        <w:t>En Balducchi, los manejos más rentables fueron NPS y NS</w:t>
      </w:r>
      <w:r w:rsidR="0001791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(</w:t>
      </w:r>
      <w:r w:rsidR="006C697B" w:rsidRPr="00BE1297">
        <w:rPr>
          <w:rFonts w:ascii="Arial" w:eastAsia="Calibri" w:hAnsi="Arial" w:cs="Arial"/>
          <w:sz w:val="22"/>
          <w:szCs w:val="22"/>
          <w:lang w:val="es-AR" w:eastAsia="es-AR"/>
        </w:rPr>
        <w:t>2.</w:t>
      </w:r>
      <w:r w:rsidR="003B65AC">
        <w:rPr>
          <w:rFonts w:ascii="Arial" w:eastAsia="Calibri" w:hAnsi="Arial" w:cs="Arial"/>
          <w:sz w:val="22"/>
          <w:szCs w:val="22"/>
          <w:lang w:val="es-AR" w:eastAsia="es-AR"/>
        </w:rPr>
        <w:t>15</w:t>
      </w:r>
      <w:r w:rsidR="006C697B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y 2.</w:t>
      </w:r>
      <w:r w:rsidR="003B65AC">
        <w:rPr>
          <w:rFonts w:ascii="Arial" w:eastAsia="Calibri" w:hAnsi="Arial" w:cs="Arial"/>
          <w:sz w:val="22"/>
          <w:szCs w:val="22"/>
          <w:lang w:val="es-AR" w:eastAsia="es-AR"/>
        </w:rPr>
        <w:t>11</w:t>
      </w:r>
      <w:r w:rsidR="0001791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3B65AC">
        <w:rPr>
          <w:rFonts w:ascii="Arial" w:eastAsia="Calibri" w:hAnsi="Arial" w:cs="Arial"/>
          <w:sz w:val="22"/>
          <w:szCs w:val="22"/>
          <w:lang w:val="es-AR" w:eastAsia="es-AR"/>
        </w:rPr>
        <w:t>US$</w:t>
      </w:r>
      <w:r w:rsidR="0001791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3B65AC">
        <w:rPr>
          <w:rFonts w:ascii="Arial" w:eastAsia="Calibri" w:hAnsi="Arial" w:cs="Arial"/>
          <w:sz w:val="22"/>
          <w:szCs w:val="22"/>
          <w:lang w:val="es-AR" w:eastAsia="es-AR"/>
        </w:rPr>
        <w:t>US$</w:t>
      </w:r>
      <w:r w:rsidR="00017917" w:rsidRPr="00BE1297">
        <w:rPr>
          <w:rFonts w:ascii="Arial" w:eastAsia="Calibri" w:hAnsi="Arial" w:cs="Arial"/>
          <w:sz w:val="22"/>
          <w:szCs w:val="22"/>
          <w:vertAlign w:val="superscript"/>
          <w:lang w:val="es-AR" w:eastAsia="es-AR"/>
        </w:rPr>
        <w:t>-1</w:t>
      </w:r>
      <w:r w:rsidR="00017917" w:rsidRPr="00BE1297">
        <w:rPr>
          <w:rFonts w:ascii="Arial" w:eastAsia="Calibri" w:hAnsi="Arial" w:cs="Arial"/>
          <w:sz w:val="22"/>
          <w:szCs w:val="22"/>
          <w:lang w:val="es-AR" w:eastAsia="es-AR"/>
        </w:rPr>
        <w:t>)</w:t>
      </w:r>
      <w:r w:rsidR="008F486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, seguidos de PS </w:t>
      </w:r>
      <w:r w:rsidR="00017917" w:rsidRPr="00BE1297">
        <w:rPr>
          <w:rFonts w:ascii="Arial" w:eastAsia="Calibri" w:hAnsi="Arial" w:cs="Arial"/>
          <w:sz w:val="22"/>
          <w:szCs w:val="22"/>
          <w:lang w:val="es-AR" w:eastAsia="es-AR"/>
        </w:rPr>
        <w:t>(</w:t>
      </w:r>
      <w:r w:rsidR="003B65AC">
        <w:rPr>
          <w:rFonts w:ascii="Arial" w:eastAsia="Calibri" w:hAnsi="Arial" w:cs="Arial"/>
          <w:sz w:val="22"/>
          <w:szCs w:val="22"/>
          <w:lang w:val="es-AR" w:eastAsia="es-AR"/>
        </w:rPr>
        <w:t>1</w:t>
      </w:r>
      <w:r w:rsidR="00017917" w:rsidRPr="00BE1297">
        <w:rPr>
          <w:rFonts w:ascii="Arial" w:eastAsia="Calibri" w:hAnsi="Arial" w:cs="Arial"/>
          <w:sz w:val="22"/>
          <w:szCs w:val="22"/>
          <w:lang w:val="es-AR" w:eastAsia="es-AR"/>
        </w:rPr>
        <w:t>.</w:t>
      </w:r>
      <w:r w:rsidR="003B65AC">
        <w:rPr>
          <w:rFonts w:ascii="Arial" w:eastAsia="Calibri" w:hAnsi="Arial" w:cs="Arial"/>
          <w:sz w:val="22"/>
          <w:szCs w:val="22"/>
          <w:lang w:val="es-AR" w:eastAsia="es-AR"/>
        </w:rPr>
        <w:t>78</w:t>
      </w:r>
      <w:r w:rsidR="0001791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3B65AC">
        <w:rPr>
          <w:rFonts w:ascii="Arial" w:eastAsia="Calibri" w:hAnsi="Arial" w:cs="Arial"/>
          <w:sz w:val="22"/>
          <w:szCs w:val="22"/>
          <w:lang w:val="es-AR" w:eastAsia="es-AR"/>
        </w:rPr>
        <w:t>US$</w:t>
      </w:r>
      <w:r w:rsidR="0001791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3B65AC">
        <w:rPr>
          <w:rFonts w:ascii="Arial" w:eastAsia="Calibri" w:hAnsi="Arial" w:cs="Arial"/>
          <w:sz w:val="22"/>
          <w:szCs w:val="22"/>
          <w:lang w:val="es-AR" w:eastAsia="es-AR"/>
        </w:rPr>
        <w:t>US$</w:t>
      </w:r>
      <w:r w:rsidR="00017917" w:rsidRPr="00BE1297">
        <w:rPr>
          <w:rFonts w:ascii="Arial" w:eastAsia="Calibri" w:hAnsi="Arial" w:cs="Arial"/>
          <w:sz w:val="22"/>
          <w:szCs w:val="22"/>
          <w:vertAlign w:val="superscript"/>
          <w:lang w:val="es-AR" w:eastAsia="es-AR"/>
        </w:rPr>
        <w:t>-1</w:t>
      </w:r>
      <w:r w:rsidR="0001791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) </w:t>
      </w:r>
      <w:r w:rsidR="008F4867" w:rsidRPr="00BE1297">
        <w:rPr>
          <w:rFonts w:ascii="Arial" w:eastAsia="Calibri" w:hAnsi="Arial" w:cs="Arial"/>
          <w:sz w:val="22"/>
          <w:szCs w:val="22"/>
          <w:lang w:val="es-AR" w:eastAsia="es-AR"/>
        </w:rPr>
        <w:t>y luego NP</w:t>
      </w:r>
      <w:r w:rsidR="0001791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(</w:t>
      </w:r>
      <w:r w:rsidR="003B65AC">
        <w:rPr>
          <w:rFonts w:ascii="Arial" w:eastAsia="Calibri" w:hAnsi="Arial" w:cs="Arial"/>
          <w:sz w:val="22"/>
          <w:szCs w:val="22"/>
          <w:lang w:val="es-AR" w:eastAsia="es-AR"/>
        </w:rPr>
        <w:t>1</w:t>
      </w:r>
      <w:r w:rsidR="00017917" w:rsidRPr="00BE1297">
        <w:rPr>
          <w:rFonts w:ascii="Arial" w:eastAsia="Calibri" w:hAnsi="Arial" w:cs="Arial"/>
          <w:sz w:val="22"/>
          <w:szCs w:val="22"/>
          <w:lang w:val="es-AR" w:eastAsia="es-AR"/>
        </w:rPr>
        <w:t>.</w:t>
      </w:r>
      <w:r w:rsidR="003B65AC">
        <w:rPr>
          <w:rFonts w:ascii="Arial" w:eastAsia="Calibri" w:hAnsi="Arial" w:cs="Arial"/>
          <w:sz w:val="22"/>
          <w:szCs w:val="22"/>
          <w:lang w:val="es-AR" w:eastAsia="es-AR"/>
        </w:rPr>
        <w:t>43</w:t>
      </w:r>
      <w:r w:rsidR="0001791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3B65AC">
        <w:rPr>
          <w:rFonts w:ascii="Arial" w:eastAsia="Calibri" w:hAnsi="Arial" w:cs="Arial"/>
          <w:sz w:val="22"/>
          <w:szCs w:val="22"/>
          <w:lang w:val="es-AR" w:eastAsia="es-AR"/>
        </w:rPr>
        <w:t>US$</w:t>
      </w:r>
      <w:r w:rsidR="0001791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3B65AC">
        <w:rPr>
          <w:rFonts w:ascii="Arial" w:eastAsia="Calibri" w:hAnsi="Arial" w:cs="Arial"/>
          <w:sz w:val="22"/>
          <w:szCs w:val="22"/>
          <w:lang w:val="es-AR" w:eastAsia="es-AR"/>
        </w:rPr>
        <w:t>US$</w:t>
      </w:r>
      <w:r w:rsidR="00017917" w:rsidRPr="00BE1297">
        <w:rPr>
          <w:rFonts w:ascii="Arial" w:eastAsia="Calibri" w:hAnsi="Arial" w:cs="Arial"/>
          <w:sz w:val="22"/>
          <w:szCs w:val="22"/>
          <w:vertAlign w:val="superscript"/>
          <w:lang w:val="es-AR" w:eastAsia="es-AR"/>
        </w:rPr>
        <w:t>-1</w:t>
      </w:r>
      <w:r w:rsidR="00017917" w:rsidRPr="00BE1297">
        <w:rPr>
          <w:rFonts w:ascii="Arial" w:eastAsia="Calibri" w:hAnsi="Arial" w:cs="Arial"/>
          <w:sz w:val="22"/>
          <w:szCs w:val="22"/>
          <w:lang w:val="es-AR" w:eastAsia="es-AR"/>
        </w:rPr>
        <w:t>)</w:t>
      </w:r>
      <w:r w:rsidR="008F486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. En San Alfredo, </w:t>
      </w:r>
      <w:r w:rsidR="006C697B" w:rsidRPr="00BE1297">
        <w:rPr>
          <w:rFonts w:ascii="Arial" w:eastAsia="Calibri" w:hAnsi="Arial" w:cs="Arial"/>
          <w:sz w:val="22"/>
          <w:szCs w:val="22"/>
          <w:lang w:val="es-AR" w:eastAsia="es-AR"/>
        </w:rPr>
        <w:t>con un</w:t>
      </w:r>
      <w:r w:rsidR="00FF123A">
        <w:rPr>
          <w:rFonts w:ascii="Arial" w:eastAsia="Calibri" w:hAnsi="Arial" w:cs="Arial"/>
          <w:sz w:val="22"/>
          <w:szCs w:val="22"/>
          <w:lang w:val="es-AR" w:eastAsia="es-AR"/>
        </w:rPr>
        <w:t xml:space="preserve"> RI</w:t>
      </w:r>
      <w:r w:rsidR="006C697B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medi</w:t>
      </w:r>
      <w:r w:rsidR="00FF123A">
        <w:rPr>
          <w:rFonts w:ascii="Arial" w:eastAsia="Calibri" w:hAnsi="Arial" w:cs="Arial"/>
          <w:sz w:val="22"/>
          <w:szCs w:val="22"/>
          <w:lang w:val="es-AR" w:eastAsia="es-AR"/>
        </w:rPr>
        <w:t>o</w:t>
      </w:r>
      <w:r w:rsidR="006C697B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de </w:t>
      </w:r>
      <w:r w:rsidR="00FF123A">
        <w:rPr>
          <w:rFonts w:ascii="Arial" w:eastAsia="Calibri" w:hAnsi="Arial" w:cs="Arial"/>
          <w:sz w:val="22"/>
          <w:szCs w:val="22"/>
          <w:lang w:val="es-AR" w:eastAsia="es-AR"/>
        </w:rPr>
        <w:t>1</w:t>
      </w:r>
      <w:r w:rsidR="006C697B" w:rsidRPr="00BE1297">
        <w:rPr>
          <w:rFonts w:ascii="Arial" w:eastAsia="Calibri" w:hAnsi="Arial" w:cs="Arial"/>
          <w:sz w:val="22"/>
          <w:szCs w:val="22"/>
          <w:lang w:val="es-AR" w:eastAsia="es-AR"/>
        </w:rPr>
        <w:t>.</w:t>
      </w:r>
      <w:r w:rsidR="00FF123A">
        <w:rPr>
          <w:rFonts w:ascii="Arial" w:eastAsia="Calibri" w:hAnsi="Arial" w:cs="Arial"/>
          <w:sz w:val="22"/>
          <w:szCs w:val="22"/>
          <w:lang w:val="es-AR" w:eastAsia="es-AR"/>
        </w:rPr>
        <w:t>56</w:t>
      </w:r>
      <w:r w:rsidR="006C697B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3B65AC">
        <w:rPr>
          <w:rFonts w:ascii="Arial" w:eastAsia="Calibri" w:hAnsi="Arial" w:cs="Arial"/>
          <w:sz w:val="22"/>
          <w:szCs w:val="22"/>
          <w:lang w:val="es-AR" w:eastAsia="es-AR"/>
        </w:rPr>
        <w:t>US$</w:t>
      </w:r>
      <w:r w:rsidR="006C697B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3B65AC">
        <w:rPr>
          <w:rFonts w:ascii="Arial" w:eastAsia="Calibri" w:hAnsi="Arial" w:cs="Arial"/>
          <w:sz w:val="22"/>
          <w:szCs w:val="22"/>
          <w:lang w:val="es-AR" w:eastAsia="es-AR"/>
        </w:rPr>
        <w:t>US$</w:t>
      </w:r>
      <w:r w:rsidR="006C697B" w:rsidRPr="00BE1297">
        <w:rPr>
          <w:rFonts w:ascii="Arial" w:eastAsia="Calibri" w:hAnsi="Arial" w:cs="Arial"/>
          <w:sz w:val="22"/>
          <w:szCs w:val="22"/>
          <w:vertAlign w:val="superscript"/>
          <w:lang w:val="es-AR" w:eastAsia="es-AR"/>
        </w:rPr>
        <w:t>-1</w:t>
      </w:r>
      <w:r w:rsidR="00D179B7">
        <w:rPr>
          <w:rFonts w:ascii="Arial" w:eastAsia="Calibri" w:hAnsi="Arial" w:cs="Arial"/>
          <w:sz w:val="22"/>
          <w:szCs w:val="22"/>
          <w:lang w:val="es-AR" w:eastAsia="es-AR"/>
        </w:rPr>
        <w:t xml:space="preserve">, </w:t>
      </w:r>
      <w:r w:rsidR="006C697B" w:rsidRPr="00BE1297">
        <w:rPr>
          <w:rFonts w:ascii="Arial" w:eastAsia="Calibri" w:hAnsi="Arial" w:cs="Arial"/>
          <w:sz w:val="22"/>
          <w:szCs w:val="22"/>
          <w:lang w:val="es-AR" w:eastAsia="es-AR"/>
        </w:rPr>
        <w:t>n</w:t>
      </w:r>
      <w:r w:rsidR="008F486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o se </w:t>
      </w:r>
      <w:r w:rsidR="00017917" w:rsidRPr="00BE1297">
        <w:rPr>
          <w:rFonts w:ascii="Arial" w:eastAsia="Calibri" w:hAnsi="Arial" w:cs="Arial"/>
          <w:sz w:val="22"/>
          <w:szCs w:val="22"/>
          <w:lang w:val="es-AR" w:eastAsia="es-AR"/>
        </w:rPr>
        <w:t>detectaron</w:t>
      </w:r>
      <w:r w:rsidR="008F486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0D041C" w:rsidRPr="00BE1297">
        <w:rPr>
          <w:rFonts w:ascii="Arial" w:eastAsia="Calibri" w:hAnsi="Arial" w:cs="Arial"/>
          <w:sz w:val="22"/>
          <w:szCs w:val="22"/>
          <w:lang w:val="es-AR" w:eastAsia="es-AR"/>
        </w:rPr>
        <w:t>diferencias entre</w:t>
      </w:r>
      <w:r w:rsidR="008F486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tratamiento</w:t>
      </w:r>
      <w:r w:rsidR="00206EF3" w:rsidRPr="00BE1297">
        <w:rPr>
          <w:rFonts w:ascii="Arial" w:eastAsia="Calibri" w:hAnsi="Arial" w:cs="Arial"/>
          <w:sz w:val="22"/>
          <w:szCs w:val="22"/>
          <w:lang w:val="es-AR" w:eastAsia="es-AR"/>
        </w:rPr>
        <w:t>s</w:t>
      </w:r>
      <w:r w:rsidR="008F4867" w:rsidRPr="00BE1297">
        <w:rPr>
          <w:rFonts w:ascii="Arial" w:eastAsia="Calibri" w:hAnsi="Arial" w:cs="Arial"/>
          <w:sz w:val="22"/>
          <w:szCs w:val="22"/>
          <w:lang w:val="es-AR" w:eastAsia="es-AR"/>
        </w:rPr>
        <w:t>.</w:t>
      </w:r>
      <w:r w:rsidR="0001791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En La Blanca</w:t>
      </w:r>
      <w:r w:rsidR="000D041C" w:rsidRPr="00BE1297">
        <w:rPr>
          <w:rFonts w:ascii="Arial" w:eastAsia="Calibri" w:hAnsi="Arial" w:cs="Arial"/>
          <w:sz w:val="22"/>
          <w:szCs w:val="22"/>
          <w:lang w:val="es-AR" w:eastAsia="es-AR"/>
        </w:rPr>
        <w:t>,</w:t>
      </w:r>
      <w:r w:rsidR="007B4DA9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0D041C" w:rsidRPr="00BE1297">
        <w:rPr>
          <w:rFonts w:ascii="Arial" w:eastAsia="Calibri" w:hAnsi="Arial" w:cs="Arial"/>
          <w:sz w:val="22"/>
          <w:szCs w:val="22"/>
          <w:lang w:val="es-AR" w:eastAsia="es-AR"/>
        </w:rPr>
        <w:t>se determinaron</w:t>
      </w:r>
      <w:r w:rsidR="007B4DA9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diferencias significativas entre NS (</w:t>
      </w:r>
      <w:r w:rsidR="00BC4999">
        <w:rPr>
          <w:rFonts w:ascii="Arial" w:eastAsia="Calibri" w:hAnsi="Arial" w:cs="Arial"/>
          <w:sz w:val="22"/>
          <w:szCs w:val="22"/>
          <w:lang w:val="es-AR" w:eastAsia="es-AR"/>
        </w:rPr>
        <w:t>1</w:t>
      </w:r>
      <w:r w:rsidR="007B4DA9" w:rsidRPr="00BE1297">
        <w:rPr>
          <w:rFonts w:ascii="Arial" w:eastAsia="Calibri" w:hAnsi="Arial" w:cs="Arial"/>
          <w:sz w:val="22"/>
          <w:szCs w:val="22"/>
          <w:lang w:val="es-AR" w:eastAsia="es-AR"/>
        </w:rPr>
        <w:t>.</w:t>
      </w:r>
      <w:r w:rsidR="00BC4999">
        <w:rPr>
          <w:rFonts w:ascii="Arial" w:eastAsia="Calibri" w:hAnsi="Arial" w:cs="Arial"/>
          <w:sz w:val="22"/>
          <w:szCs w:val="22"/>
          <w:lang w:val="es-AR" w:eastAsia="es-AR"/>
        </w:rPr>
        <w:t>8</w:t>
      </w:r>
      <w:r w:rsidR="007B4DA9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6 </w:t>
      </w:r>
      <w:r w:rsidR="003B65AC">
        <w:rPr>
          <w:rFonts w:ascii="Arial" w:eastAsia="Calibri" w:hAnsi="Arial" w:cs="Arial"/>
          <w:sz w:val="22"/>
          <w:szCs w:val="22"/>
          <w:lang w:val="es-AR" w:eastAsia="es-AR"/>
        </w:rPr>
        <w:t>US$</w:t>
      </w:r>
      <w:r w:rsidR="007B4DA9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3B65AC">
        <w:rPr>
          <w:rFonts w:ascii="Arial" w:eastAsia="Calibri" w:hAnsi="Arial" w:cs="Arial"/>
          <w:sz w:val="22"/>
          <w:szCs w:val="22"/>
          <w:lang w:val="es-AR" w:eastAsia="es-AR"/>
        </w:rPr>
        <w:t>US$</w:t>
      </w:r>
      <w:r w:rsidR="007B4DA9" w:rsidRPr="00BE1297">
        <w:rPr>
          <w:rFonts w:ascii="Arial" w:eastAsia="Calibri" w:hAnsi="Arial" w:cs="Arial"/>
          <w:sz w:val="22"/>
          <w:szCs w:val="22"/>
          <w:vertAlign w:val="superscript"/>
          <w:lang w:val="es-AR" w:eastAsia="es-AR"/>
        </w:rPr>
        <w:t>-1</w:t>
      </w:r>
      <w:r w:rsidR="007B4DA9" w:rsidRPr="00BE1297">
        <w:rPr>
          <w:rFonts w:ascii="Arial" w:eastAsia="Calibri" w:hAnsi="Arial" w:cs="Arial"/>
          <w:sz w:val="22"/>
          <w:szCs w:val="22"/>
          <w:lang w:val="es-AR" w:eastAsia="es-AR"/>
        </w:rPr>
        <w:t>) y NP (</w:t>
      </w:r>
      <w:r w:rsidR="006C697B" w:rsidRPr="00BE1297">
        <w:rPr>
          <w:rFonts w:ascii="Arial" w:eastAsia="Calibri" w:hAnsi="Arial" w:cs="Arial"/>
          <w:sz w:val="22"/>
          <w:szCs w:val="22"/>
          <w:lang w:val="es-AR" w:eastAsia="es-AR"/>
        </w:rPr>
        <w:t>1</w:t>
      </w:r>
      <w:r w:rsidR="007B4DA9" w:rsidRPr="00BE1297">
        <w:rPr>
          <w:rFonts w:ascii="Arial" w:eastAsia="Calibri" w:hAnsi="Arial" w:cs="Arial"/>
          <w:sz w:val="22"/>
          <w:szCs w:val="22"/>
          <w:lang w:val="es-AR" w:eastAsia="es-AR"/>
        </w:rPr>
        <w:t>.</w:t>
      </w:r>
      <w:r w:rsidR="00BC4999">
        <w:rPr>
          <w:rFonts w:ascii="Arial" w:eastAsia="Calibri" w:hAnsi="Arial" w:cs="Arial"/>
          <w:sz w:val="22"/>
          <w:szCs w:val="22"/>
          <w:lang w:val="es-AR" w:eastAsia="es-AR"/>
        </w:rPr>
        <w:t>36</w:t>
      </w:r>
      <w:r w:rsidR="007B4DA9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3B65AC">
        <w:rPr>
          <w:rFonts w:ascii="Arial" w:eastAsia="Calibri" w:hAnsi="Arial" w:cs="Arial"/>
          <w:sz w:val="22"/>
          <w:szCs w:val="22"/>
          <w:lang w:val="es-AR" w:eastAsia="es-AR"/>
        </w:rPr>
        <w:t>US$</w:t>
      </w:r>
      <w:r w:rsidR="007B4DA9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3B65AC">
        <w:rPr>
          <w:rFonts w:ascii="Arial" w:eastAsia="Calibri" w:hAnsi="Arial" w:cs="Arial"/>
          <w:sz w:val="22"/>
          <w:szCs w:val="22"/>
          <w:lang w:val="es-AR" w:eastAsia="es-AR"/>
        </w:rPr>
        <w:t>US$</w:t>
      </w:r>
      <w:r w:rsidR="007B4DA9" w:rsidRPr="00BE1297">
        <w:rPr>
          <w:rFonts w:ascii="Arial" w:eastAsia="Calibri" w:hAnsi="Arial" w:cs="Arial"/>
          <w:sz w:val="22"/>
          <w:szCs w:val="22"/>
          <w:vertAlign w:val="superscript"/>
          <w:lang w:val="es-AR" w:eastAsia="es-AR"/>
        </w:rPr>
        <w:t>-1</w:t>
      </w:r>
      <w:r w:rsidR="007B4DA9" w:rsidRPr="00BE1297">
        <w:rPr>
          <w:rFonts w:ascii="Arial" w:eastAsia="Calibri" w:hAnsi="Arial" w:cs="Arial"/>
          <w:sz w:val="22"/>
          <w:szCs w:val="22"/>
          <w:lang w:val="es-AR" w:eastAsia="es-AR"/>
        </w:rPr>
        <w:t>). En La Hansa, el tratamiento NS registró la mayor rentabilidad (</w:t>
      </w:r>
      <w:r w:rsidR="00BC4999">
        <w:rPr>
          <w:rFonts w:ascii="Arial" w:eastAsia="Calibri" w:hAnsi="Arial" w:cs="Arial"/>
          <w:sz w:val="22"/>
          <w:szCs w:val="22"/>
          <w:lang w:val="es-AR" w:eastAsia="es-AR"/>
        </w:rPr>
        <w:t>2.31</w:t>
      </w:r>
      <w:r w:rsidR="007B4DA9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3B65AC" w:rsidRPr="00BC4999">
        <w:rPr>
          <w:rFonts w:ascii="Arial" w:eastAsia="Calibri" w:hAnsi="Arial" w:cs="Arial"/>
          <w:sz w:val="22"/>
          <w:szCs w:val="22"/>
          <w:lang w:val="es-AR" w:eastAsia="es-AR"/>
        </w:rPr>
        <w:t>US$</w:t>
      </w:r>
      <w:r w:rsidR="007B4DA9" w:rsidRPr="00BC4999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3B65AC" w:rsidRPr="00BC4999">
        <w:rPr>
          <w:rFonts w:ascii="Arial" w:eastAsia="Calibri" w:hAnsi="Arial" w:cs="Arial"/>
          <w:sz w:val="22"/>
          <w:szCs w:val="22"/>
          <w:lang w:val="es-AR" w:eastAsia="es-AR"/>
        </w:rPr>
        <w:t>US$</w:t>
      </w:r>
      <w:r w:rsidR="007B4DA9" w:rsidRPr="00BC4999">
        <w:rPr>
          <w:rFonts w:ascii="Arial" w:eastAsia="Calibri" w:hAnsi="Arial" w:cs="Arial"/>
          <w:sz w:val="22"/>
          <w:szCs w:val="22"/>
          <w:vertAlign w:val="superscript"/>
          <w:lang w:val="es-AR" w:eastAsia="es-AR"/>
        </w:rPr>
        <w:t>-1</w:t>
      </w:r>
      <w:r w:rsidR="007B4DA9" w:rsidRPr="00BC4999">
        <w:rPr>
          <w:rFonts w:ascii="Arial" w:eastAsia="Calibri" w:hAnsi="Arial" w:cs="Arial"/>
          <w:sz w:val="22"/>
          <w:szCs w:val="22"/>
          <w:lang w:val="es-AR" w:eastAsia="es-AR"/>
        </w:rPr>
        <w:t>) seguido de NPS</w:t>
      </w:r>
      <w:r w:rsidR="00BC4999">
        <w:rPr>
          <w:rFonts w:ascii="Arial" w:eastAsia="Calibri" w:hAnsi="Arial" w:cs="Arial"/>
          <w:sz w:val="22"/>
          <w:szCs w:val="22"/>
          <w:lang w:val="es-AR" w:eastAsia="es-AR"/>
        </w:rPr>
        <w:t>, PS, y NP con</w:t>
      </w:r>
      <w:r w:rsidR="007B4DA9" w:rsidRPr="00BC4999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BC4999">
        <w:rPr>
          <w:rFonts w:ascii="Arial" w:eastAsia="Calibri" w:hAnsi="Arial" w:cs="Arial"/>
          <w:sz w:val="22"/>
          <w:szCs w:val="22"/>
          <w:lang w:val="es-AR" w:eastAsia="es-AR"/>
        </w:rPr>
        <w:t>1</w:t>
      </w:r>
      <w:r w:rsidR="007B4DA9" w:rsidRPr="00BC4999">
        <w:rPr>
          <w:rFonts w:ascii="Arial" w:eastAsia="Calibri" w:hAnsi="Arial" w:cs="Arial"/>
          <w:sz w:val="22"/>
          <w:szCs w:val="22"/>
          <w:lang w:val="es-AR" w:eastAsia="es-AR"/>
        </w:rPr>
        <w:t>.</w:t>
      </w:r>
      <w:r w:rsidR="00BC4999">
        <w:rPr>
          <w:rFonts w:ascii="Arial" w:eastAsia="Calibri" w:hAnsi="Arial" w:cs="Arial"/>
          <w:sz w:val="22"/>
          <w:szCs w:val="22"/>
          <w:lang w:val="es-AR" w:eastAsia="es-AR"/>
        </w:rPr>
        <w:t>70</w:t>
      </w:r>
      <w:r w:rsidR="007B4DA9" w:rsidRPr="00BC4999">
        <w:rPr>
          <w:rFonts w:ascii="Arial" w:eastAsia="Calibri" w:hAnsi="Arial" w:cs="Arial"/>
          <w:sz w:val="22"/>
          <w:szCs w:val="22"/>
          <w:lang w:val="es-AR" w:eastAsia="es-AR"/>
        </w:rPr>
        <w:t xml:space="preserve">, </w:t>
      </w:r>
      <w:r w:rsidR="00BC4999">
        <w:rPr>
          <w:rFonts w:ascii="Arial" w:eastAsia="Calibri" w:hAnsi="Arial" w:cs="Arial"/>
          <w:sz w:val="22"/>
          <w:szCs w:val="22"/>
          <w:lang w:val="es-AR" w:eastAsia="es-AR"/>
        </w:rPr>
        <w:t>1.46,</w:t>
      </w:r>
      <w:r w:rsidR="007B4DA9" w:rsidRPr="00BC4999">
        <w:rPr>
          <w:rFonts w:ascii="Arial" w:eastAsia="Calibri" w:hAnsi="Arial" w:cs="Arial"/>
          <w:sz w:val="22"/>
          <w:szCs w:val="22"/>
          <w:lang w:val="es-AR" w:eastAsia="es-AR"/>
        </w:rPr>
        <w:t xml:space="preserve"> y</w:t>
      </w:r>
      <w:r w:rsidR="00BC4999">
        <w:rPr>
          <w:rFonts w:ascii="Arial" w:eastAsia="Calibri" w:hAnsi="Arial" w:cs="Arial"/>
          <w:sz w:val="22"/>
          <w:szCs w:val="22"/>
          <w:lang w:val="es-AR" w:eastAsia="es-AR"/>
        </w:rPr>
        <w:t xml:space="preserve"> 1</w:t>
      </w:r>
      <w:r w:rsidR="007B4DA9" w:rsidRPr="00BC4999">
        <w:rPr>
          <w:rFonts w:ascii="Arial" w:eastAsia="Calibri" w:hAnsi="Arial" w:cs="Arial"/>
          <w:sz w:val="22"/>
          <w:szCs w:val="22"/>
          <w:lang w:val="es-AR" w:eastAsia="es-AR"/>
        </w:rPr>
        <w:t>.</w:t>
      </w:r>
      <w:r w:rsidR="00BC4999">
        <w:rPr>
          <w:rFonts w:ascii="Arial" w:eastAsia="Calibri" w:hAnsi="Arial" w:cs="Arial"/>
          <w:sz w:val="22"/>
          <w:szCs w:val="22"/>
          <w:lang w:val="es-AR" w:eastAsia="es-AR"/>
        </w:rPr>
        <w:t>23</w:t>
      </w:r>
      <w:r w:rsidR="007B4DA9" w:rsidRPr="00BC4999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3B65AC" w:rsidRPr="00BC4999">
        <w:rPr>
          <w:rFonts w:ascii="Arial" w:eastAsia="Calibri" w:hAnsi="Arial" w:cs="Arial"/>
          <w:sz w:val="22"/>
          <w:szCs w:val="22"/>
          <w:lang w:val="es-AR" w:eastAsia="es-AR"/>
        </w:rPr>
        <w:t>US$</w:t>
      </w:r>
      <w:r w:rsidR="007B4DA9" w:rsidRPr="00BC4999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3B65AC" w:rsidRPr="00BC4999">
        <w:rPr>
          <w:rFonts w:ascii="Arial" w:eastAsia="Calibri" w:hAnsi="Arial" w:cs="Arial"/>
          <w:sz w:val="22"/>
          <w:szCs w:val="22"/>
          <w:lang w:val="es-AR" w:eastAsia="es-AR"/>
        </w:rPr>
        <w:t>US$</w:t>
      </w:r>
      <w:r w:rsidR="007B4DA9" w:rsidRPr="00BC4999">
        <w:rPr>
          <w:rFonts w:ascii="Arial" w:eastAsia="Calibri" w:hAnsi="Arial" w:cs="Arial"/>
          <w:sz w:val="22"/>
          <w:szCs w:val="22"/>
          <w:vertAlign w:val="superscript"/>
          <w:lang w:val="es-AR" w:eastAsia="es-AR"/>
        </w:rPr>
        <w:t>-1</w:t>
      </w:r>
      <w:r w:rsidR="00BC4999">
        <w:rPr>
          <w:rFonts w:ascii="Arial" w:eastAsia="Calibri" w:hAnsi="Arial" w:cs="Arial"/>
          <w:sz w:val="22"/>
          <w:szCs w:val="22"/>
          <w:lang w:val="es-AR" w:eastAsia="es-AR"/>
        </w:rPr>
        <w:t>, respectivamente</w:t>
      </w:r>
      <w:r w:rsidR="007B4DA9" w:rsidRPr="00BC4999">
        <w:rPr>
          <w:rFonts w:ascii="Arial" w:eastAsia="Calibri" w:hAnsi="Arial" w:cs="Arial"/>
          <w:sz w:val="22"/>
          <w:szCs w:val="22"/>
          <w:lang w:val="es-AR" w:eastAsia="es-AR"/>
        </w:rPr>
        <w:t xml:space="preserve">. </w:t>
      </w:r>
      <w:r w:rsidR="007B4DA9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En Lambaré, el sitio de mejores condiciones iniciales de fertilidad, </w:t>
      </w:r>
      <w:r w:rsidR="00BC4999">
        <w:rPr>
          <w:rFonts w:ascii="Arial" w:eastAsia="Calibri" w:hAnsi="Arial" w:cs="Arial"/>
          <w:sz w:val="22"/>
          <w:szCs w:val="22"/>
          <w:lang w:val="es-AR" w:eastAsia="es-AR"/>
        </w:rPr>
        <w:t>solo resultó rentable el tratamiento</w:t>
      </w:r>
      <w:r w:rsidR="006C697B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7B4DA9" w:rsidRPr="00BE1297">
        <w:rPr>
          <w:rFonts w:ascii="Arial" w:eastAsia="Calibri" w:hAnsi="Arial" w:cs="Arial"/>
          <w:sz w:val="22"/>
          <w:szCs w:val="22"/>
          <w:lang w:val="es-AR" w:eastAsia="es-AR"/>
        </w:rPr>
        <w:t>NS (</w:t>
      </w:r>
      <w:r w:rsidR="00BC4999">
        <w:rPr>
          <w:rFonts w:ascii="Arial" w:eastAsia="Calibri" w:hAnsi="Arial" w:cs="Arial"/>
          <w:sz w:val="22"/>
          <w:szCs w:val="22"/>
          <w:lang w:val="es-AR" w:eastAsia="es-AR"/>
        </w:rPr>
        <w:t>1</w:t>
      </w:r>
      <w:r w:rsidR="007B4DA9" w:rsidRPr="00BE1297">
        <w:rPr>
          <w:rFonts w:ascii="Arial" w:eastAsia="Calibri" w:hAnsi="Arial" w:cs="Arial"/>
          <w:sz w:val="22"/>
          <w:szCs w:val="22"/>
          <w:lang w:val="es-AR" w:eastAsia="es-AR"/>
        </w:rPr>
        <w:t>.</w:t>
      </w:r>
      <w:r w:rsidR="00BC4999">
        <w:rPr>
          <w:rFonts w:ascii="Arial" w:eastAsia="Calibri" w:hAnsi="Arial" w:cs="Arial"/>
          <w:sz w:val="22"/>
          <w:szCs w:val="22"/>
          <w:lang w:val="es-AR" w:eastAsia="es-AR"/>
        </w:rPr>
        <w:t>54</w:t>
      </w:r>
      <w:r w:rsidR="007B4DA9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3B65AC">
        <w:rPr>
          <w:rFonts w:ascii="Arial" w:eastAsia="Calibri" w:hAnsi="Arial" w:cs="Arial"/>
          <w:sz w:val="22"/>
          <w:szCs w:val="22"/>
          <w:lang w:val="es-AR" w:eastAsia="es-AR"/>
        </w:rPr>
        <w:t>US$</w:t>
      </w:r>
      <w:r w:rsidR="007B4DA9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3B65AC">
        <w:rPr>
          <w:rFonts w:ascii="Arial" w:eastAsia="Calibri" w:hAnsi="Arial" w:cs="Arial"/>
          <w:sz w:val="22"/>
          <w:szCs w:val="22"/>
          <w:lang w:val="es-AR" w:eastAsia="es-AR"/>
        </w:rPr>
        <w:t>US$</w:t>
      </w:r>
      <w:r w:rsidR="007B4DA9" w:rsidRPr="00BE1297">
        <w:rPr>
          <w:rFonts w:ascii="Arial" w:eastAsia="Calibri" w:hAnsi="Arial" w:cs="Arial"/>
          <w:sz w:val="22"/>
          <w:szCs w:val="22"/>
          <w:vertAlign w:val="superscript"/>
          <w:lang w:val="es-AR" w:eastAsia="es-AR"/>
        </w:rPr>
        <w:t>-1</w:t>
      </w:r>
      <w:r w:rsidR="007B4DA9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), mientras que el resto de los tratamientos registró un </w:t>
      </w:r>
      <w:r w:rsidR="00BC4999">
        <w:rPr>
          <w:rFonts w:ascii="Arial" w:eastAsia="Calibri" w:hAnsi="Arial" w:cs="Arial"/>
          <w:sz w:val="22"/>
          <w:szCs w:val="22"/>
          <w:lang w:val="es-AR" w:eastAsia="es-AR"/>
        </w:rPr>
        <w:t>RI</w:t>
      </w:r>
      <w:r w:rsidR="007B4DA9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medio de </w:t>
      </w:r>
      <w:r w:rsidR="00BC4999">
        <w:rPr>
          <w:rFonts w:ascii="Arial" w:eastAsia="Calibri" w:hAnsi="Arial" w:cs="Arial"/>
          <w:sz w:val="22"/>
          <w:szCs w:val="22"/>
          <w:lang w:val="es-AR" w:eastAsia="es-AR"/>
        </w:rPr>
        <w:t>0</w:t>
      </w:r>
      <w:r w:rsidR="007B4DA9" w:rsidRPr="00BE1297">
        <w:rPr>
          <w:rFonts w:ascii="Arial" w:eastAsia="Calibri" w:hAnsi="Arial" w:cs="Arial"/>
          <w:sz w:val="22"/>
          <w:szCs w:val="22"/>
          <w:lang w:val="es-AR" w:eastAsia="es-AR"/>
        </w:rPr>
        <w:t>.8</w:t>
      </w:r>
      <w:r w:rsidR="00BC4999">
        <w:rPr>
          <w:rFonts w:ascii="Arial" w:eastAsia="Calibri" w:hAnsi="Arial" w:cs="Arial"/>
          <w:sz w:val="22"/>
          <w:szCs w:val="22"/>
          <w:lang w:val="es-AR" w:eastAsia="es-AR"/>
        </w:rPr>
        <w:t>3</w:t>
      </w:r>
      <w:r w:rsidR="007B4DA9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3B65AC">
        <w:rPr>
          <w:rFonts w:ascii="Arial" w:eastAsia="Calibri" w:hAnsi="Arial" w:cs="Arial"/>
          <w:sz w:val="22"/>
          <w:szCs w:val="22"/>
          <w:lang w:val="es-AR" w:eastAsia="es-AR"/>
        </w:rPr>
        <w:t>US$</w:t>
      </w:r>
      <w:r w:rsidR="007B4DA9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3B65AC">
        <w:rPr>
          <w:rFonts w:ascii="Arial" w:eastAsia="Calibri" w:hAnsi="Arial" w:cs="Arial"/>
          <w:sz w:val="22"/>
          <w:szCs w:val="22"/>
          <w:lang w:val="es-AR" w:eastAsia="es-AR"/>
        </w:rPr>
        <w:t>US$</w:t>
      </w:r>
      <w:r w:rsidR="007B4DA9" w:rsidRPr="00BE1297">
        <w:rPr>
          <w:rFonts w:ascii="Arial" w:eastAsia="Calibri" w:hAnsi="Arial" w:cs="Arial"/>
          <w:sz w:val="22"/>
          <w:szCs w:val="22"/>
          <w:vertAlign w:val="superscript"/>
          <w:lang w:val="es-AR" w:eastAsia="es-AR"/>
        </w:rPr>
        <w:t>-1</w:t>
      </w:r>
      <w:r w:rsidR="007B4DA9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invertido.</w:t>
      </w:r>
      <w:r w:rsidR="009564C0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Estos resultados, indican que la </w:t>
      </w:r>
      <w:r w:rsidR="00F20257" w:rsidRPr="00BE1297">
        <w:rPr>
          <w:rFonts w:ascii="Arial" w:eastAsia="Calibri" w:hAnsi="Arial" w:cs="Arial"/>
          <w:sz w:val="22"/>
          <w:szCs w:val="22"/>
          <w:lang w:val="es-AR" w:eastAsia="es-AR"/>
        </w:rPr>
        <w:t>r</w:t>
      </w:r>
      <w:r w:rsidR="009564C0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entabilidad media de la práctica </w:t>
      </w:r>
      <w:r w:rsidR="004B46D8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en </w:t>
      </w:r>
      <w:r w:rsidR="000D041C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Lambaré, </w:t>
      </w:r>
      <w:r w:rsidR="004B46D8" w:rsidRPr="00BE1297">
        <w:rPr>
          <w:rFonts w:ascii="Arial" w:eastAsia="Calibri" w:hAnsi="Arial" w:cs="Arial"/>
          <w:sz w:val="22"/>
          <w:szCs w:val="22"/>
          <w:lang w:val="es-AR" w:eastAsia="es-AR"/>
        </w:rPr>
        <w:t>el suelo con menor respuesta a la fertilización</w:t>
      </w:r>
      <w:r w:rsidR="000D041C" w:rsidRPr="00BE1297">
        <w:rPr>
          <w:rFonts w:ascii="Arial" w:eastAsia="Calibri" w:hAnsi="Arial" w:cs="Arial"/>
          <w:sz w:val="22"/>
          <w:szCs w:val="22"/>
          <w:lang w:val="es-AR" w:eastAsia="es-AR"/>
        </w:rPr>
        <w:t>,</w:t>
      </w:r>
      <w:r w:rsidR="004B46D8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fue de</w:t>
      </w:r>
      <w:r w:rsidR="00AB5FA3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proofErr w:type="gramStart"/>
      <w:r w:rsidR="004B46D8" w:rsidRPr="00BE1297">
        <w:rPr>
          <w:rFonts w:ascii="Arial" w:eastAsia="Calibri" w:hAnsi="Arial" w:cs="Arial"/>
          <w:sz w:val="22"/>
          <w:szCs w:val="22"/>
          <w:lang w:val="es-AR" w:eastAsia="es-AR"/>
        </w:rPr>
        <w:t>un</w:t>
      </w:r>
      <w:r w:rsidR="009564C0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BC4999">
        <w:rPr>
          <w:rFonts w:ascii="Arial" w:eastAsia="Calibri" w:hAnsi="Arial" w:cs="Arial"/>
          <w:sz w:val="22"/>
          <w:szCs w:val="22"/>
          <w:lang w:val="es-AR" w:eastAsia="es-AR"/>
        </w:rPr>
        <w:t xml:space="preserve">54% </w:t>
      </w:r>
      <w:r w:rsidR="00AB5FA3">
        <w:rPr>
          <w:rFonts w:ascii="Arial" w:eastAsia="Calibri" w:hAnsi="Arial" w:cs="Arial"/>
          <w:sz w:val="22"/>
          <w:szCs w:val="22"/>
          <w:lang w:val="es-AR" w:eastAsia="es-AR"/>
        </w:rPr>
        <w:t>con un manejo razonable dados</w:t>
      </w:r>
      <w:proofErr w:type="gramEnd"/>
      <w:r w:rsidR="00AB5FA3">
        <w:rPr>
          <w:rFonts w:ascii="Arial" w:eastAsia="Calibri" w:hAnsi="Arial" w:cs="Arial"/>
          <w:sz w:val="22"/>
          <w:szCs w:val="22"/>
          <w:lang w:val="es-AR" w:eastAsia="es-AR"/>
        </w:rPr>
        <w:t xml:space="preserve"> los altos niveles de P en el suelo</w:t>
      </w:r>
      <w:r w:rsidR="00F20257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. </w:t>
      </w:r>
    </w:p>
    <w:p w:rsidR="00980439" w:rsidRDefault="00AA6B63" w:rsidP="00D278E9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Arial" w:eastAsia="Calibri" w:hAnsi="Arial" w:cs="Arial"/>
          <w:sz w:val="22"/>
          <w:szCs w:val="22"/>
          <w:lang w:val="es-AR" w:eastAsia="es-AR"/>
        </w:rPr>
      </w:pPr>
      <w:r w:rsidRPr="00BE1297">
        <w:rPr>
          <w:rFonts w:ascii="Arial" w:eastAsia="Calibri" w:hAnsi="Arial" w:cs="Arial"/>
          <w:sz w:val="22"/>
          <w:szCs w:val="22"/>
          <w:lang w:val="es-AR" w:eastAsia="es-AR"/>
        </w:rPr>
        <w:t>A nivel general, s</w:t>
      </w:r>
      <w:r w:rsidR="006C697B" w:rsidRPr="00BE1297">
        <w:rPr>
          <w:rFonts w:ascii="Arial" w:eastAsia="Calibri" w:hAnsi="Arial" w:cs="Arial"/>
          <w:sz w:val="22"/>
          <w:szCs w:val="22"/>
          <w:lang w:val="es-AR" w:eastAsia="es-AR"/>
        </w:rPr>
        <w:t>i bien el tratamiento NPS fue el que más beneficio</w:t>
      </w:r>
      <w:r w:rsidRPr="00BE1297">
        <w:rPr>
          <w:rFonts w:ascii="Arial" w:eastAsia="Calibri" w:hAnsi="Arial" w:cs="Arial"/>
          <w:sz w:val="22"/>
          <w:szCs w:val="22"/>
          <w:lang w:val="es-AR" w:eastAsia="es-AR"/>
        </w:rPr>
        <w:t>s</w:t>
      </w:r>
      <w:r w:rsidR="006C697B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acumuló</w:t>
      </w:r>
      <w:r w:rsidR="00FF718E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en el período </w:t>
      </w:r>
      <w:r w:rsidR="009564C0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evaluado </w:t>
      </w:r>
      <w:r w:rsidR="00FF718E" w:rsidRPr="00BE1297">
        <w:rPr>
          <w:rFonts w:ascii="Arial" w:eastAsia="Calibri" w:hAnsi="Arial" w:cs="Arial"/>
          <w:sz w:val="22"/>
          <w:szCs w:val="22"/>
          <w:lang w:val="es-AR" w:eastAsia="es-AR"/>
        </w:rPr>
        <w:t>(Figura 2)</w:t>
      </w:r>
      <w:r w:rsidR="006C697B" w:rsidRPr="00BE1297">
        <w:rPr>
          <w:rFonts w:ascii="Arial" w:eastAsia="Calibri" w:hAnsi="Arial" w:cs="Arial"/>
          <w:sz w:val="22"/>
          <w:szCs w:val="22"/>
          <w:lang w:val="es-AR" w:eastAsia="es-AR"/>
        </w:rPr>
        <w:t>,</w:t>
      </w:r>
      <w:r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fue</w:t>
      </w:r>
      <w:r w:rsidR="006C697B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28098A" w:rsidRPr="00BE1297">
        <w:rPr>
          <w:rFonts w:ascii="Arial" w:eastAsia="Calibri" w:hAnsi="Arial" w:cs="Arial"/>
          <w:sz w:val="22"/>
          <w:szCs w:val="22"/>
          <w:lang w:val="es-AR" w:eastAsia="es-AR"/>
        </w:rPr>
        <w:t>el tratamiento NS el que mejor pagó la inversión</w:t>
      </w:r>
      <w:r w:rsidR="006C697B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7D332F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en fertilización </w:t>
      </w:r>
      <w:r w:rsidR="006C697B" w:rsidRPr="00BE1297">
        <w:rPr>
          <w:rFonts w:ascii="Arial" w:eastAsia="Calibri" w:hAnsi="Arial" w:cs="Arial"/>
          <w:sz w:val="22"/>
          <w:szCs w:val="22"/>
          <w:lang w:val="es-AR" w:eastAsia="es-AR"/>
        </w:rPr>
        <w:t>(Figura 3)</w:t>
      </w:r>
      <w:r w:rsidR="0028098A" w:rsidRPr="00BE1297">
        <w:rPr>
          <w:rFonts w:ascii="Arial" w:eastAsia="Calibri" w:hAnsi="Arial" w:cs="Arial"/>
          <w:sz w:val="22"/>
          <w:szCs w:val="22"/>
          <w:lang w:val="es-AR" w:eastAsia="es-AR"/>
        </w:rPr>
        <w:t>, principalmente relacionado al bajo costo relativo y a la creciente respuesta</w:t>
      </w:r>
      <w:r w:rsidR="00DF40B1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de los cultivos</w:t>
      </w:r>
      <w:r w:rsidR="0028098A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a la fertilización azufrada. Sin embargo, es importante mencionar </w:t>
      </w:r>
      <w:r w:rsidR="009D0FDA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que </w:t>
      </w:r>
      <w:r w:rsidR="00C72262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este </w:t>
      </w:r>
      <w:r w:rsidR="007D332F" w:rsidRPr="00BE1297">
        <w:rPr>
          <w:rFonts w:ascii="Arial" w:eastAsia="Calibri" w:hAnsi="Arial" w:cs="Arial"/>
          <w:sz w:val="22"/>
          <w:szCs w:val="22"/>
          <w:lang w:val="es-AR" w:eastAsia="es-AR"/>
        </w:rPr>
        <w:t>manejo</w:t>
      </w:r>
      <w:r w:rsidR="009D0FDA" w:rsidRPr="00BE1297">
        <w:rPr>
          <w:rFonts w:ascii="Arial" w:eastAsia="Calibri" w:hAnsi="Arial" w:cs="Arial"/>
          <w:sz w:val="22"/>
          <w:szCs w:val="22"/>
          <w:lang w:val="es-AR" w:eastAsia="es-AR"/>
        </w:rPr>
        <w:t>, que</w:t>
      </w:r>
      <w:r w:rsidR="0028098A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omit</w:t>
      </w:r>
      <w:r w:rsidR="007D332F" w:rsidRPr="00BE1297">
        <w:rPr>
          <w:rFonts w:ascii="Arial" w:eastAsia="Calibri" w:hAnsi="Arial" w:cs="Arial"/>
          <w:sz w:val="22"/>
          <w:szCs w:val="22"/>
          <w:lang w:val="es-AR" w:eastAsia="es-AR"/>
        </w:rPr>
        <w:t>e</w:t>
      </w:r>
      <w:r w:rsidR="0028098A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la aplicación de P</w:t>
      </w:r>
      <w:r w:rsidR="009D0FDA" w:rsidRPr="00BE1297">
        <w:rPr>
          <w:rFonts w:ascii="Arial" w:eastAsia="Calibri" w:hAnsi="Arial" w:cs="Arial"/>
          <w:sz w:val="22"/>
          <w:szCs w:val="22"/>
          <w:lang w:val="es-AR" w:eastAsia="es-AR"/>
        </w:rPr>
        <w:t>, tiene un costo no cuantificado en este trabajo correspondiente</w:t>
      </w:r>
      <w:r w:rsidR="0028098A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9D0FDA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a </w:t>
      </w:r>
      <w:r w:rsidR="0028098A" w:rsidRPr="00BE1297">
        <w:rPr>
          <w:rFonts w:ascii="Arial" w:eastAsia="Calibri" w:hAnsi="Arial" w:cs="Arial"/>
          <w:sz w:val="22"/>
          <w:szCs w:val="22"/>
          <w:lang w:val="es-AR" w:eastAsia="es-AR"/>
        </w:rPr>
        <w:t>un empobrecimiento</w:t>
      </w:r>
      <w:r w:rsidR="009D0FDA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en P del suelo respecto del tratamiento NPS que</w:t>
      </w:r>
      <w:r w:rsidR="00D179B7" w:rsidRPr="00BE1297">
        <w:rPr>
          <w:rFonts w:ascii="Arial" w:eastAsia="Calibri" w:hAnsi="Arial" w:cs="Arial"/>
          <w:sz w:val="22"/>
          <w:szCs w:val="22"/>
          <w:lang w:val="es-AR" w:eastAsia="es-AR"/>
        </w:rPr>
        <w:t>,</w:t>
      </w:r>
      <w:r w:rsidR="009D0FDA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en general</w:t>
      </w:r>
      <w:r w:rsidR="00D179B7">
        <w:rPr>
          <w:rFonts w:ascii="Arial" w:eastAsia="Calibri" w:hAnsi="Arial" w:cs="Arial"/>
          <w:sz w:val="22"/>
          <w:szCs w:val="22"/>
          <w:lang w:val="es-AR" w:eastAsia="es-AR"/>
        </w:rPr>
        <w:t>,</w:t>
      </w:r>
      <w:r w:rsidR="009D0FDA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mantiene y/o mejora los niveles de este nutriente clave para la producción</w:t>
      </w:r>
      <w:r w:rsidR="00C72262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de cultivos</w:t>
      </w:r>
      <w:r w:rsidR="007D332F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(</w:t>
      </w:r>
      <w:proofErr w:type="spellStart"/>
      <w:r w:rsidR="007D332F" w:rsidRPr="00BE1297">
        <w:rPr>
          <w:rFonts w:ascii="Arial" w:eastAsia="Calibri" w:hAnsi="Arial" w:cs="Arial"/>
          <w:sz w:val="22"/>
          <w:szCs w:val="22"/>
          <w:lang w:val="es-AR" w:eastAsia="es-AR"/>
        </w:rPr>
        <w:t>Ciampitti</w:t>
      </w:r>
      <w:proofErr w:type="spellEnd"/>
      <w:r w:rsidR="007D332F" w:rsidRPr="00BE1297">
        <w:rPr>
          <w:rFonts w:ascii="Arial" w:eastAsia="Calibri" w:hAnsi="Arial" w:cs="Arial"/>
          <w:sz w:val="22"/>
          <w:szCs w:val="22"/>
          <w:lang w:val="es-AR" w:eastAsia="es-AR"/>
        </w:rPr>
        <w:t xml:space="preserve"> et al.,</w:t>
      </w:r>
      <w:r w:rsidR="007D332F">
        <w:rPr>
          <w:rFonts w:ascii="Arial" w:eastAsia="Calibri" w:hAnsi="Arial" w:cs="Arial"/>
          <w:sz w:val="22"/>
          <w:szCs w:val="22"/>
          <w:lang w:val="es-AR" w:eastAsia="es-AR"/>
        </w:rPr>
        <w:t xml:space="preserve"> 2011)</w:t>
      </w:r>
      <w:r w:rsidR="009D0FDA">
        <w:rPr>
          <w:rFonts w:ascii="Arial" w:eastAsia="Calibri" w:hAnsi="Arial" w:cs="Arial"/>
          <w:sz w:val="22"/>
          <w:szCs w:val="22"/>
          <w:lang w:val="es-AR" w:eastAsia="es-AR"/>
        </w:rPr>
        <w:t>.</w:t>
      </w:r>
      <w:r w:rsidR="00B735D3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980439">
        <w:rPr>
          <w:rFonts w:ascii="Arial" w:eastAsia="Calibri" w:hAnsi="Arial" w:cs="Arial"/>
          <w:sz w:val="22"/>
          <w:szCs w:val="22"/>
          <w:lang w:val="es-AR" w:eastAsia="es-AR"/>
        </w:rPr>
        <w:t>De forma similar, aplicar un manejo sin fertilización</w:t>
      </w:r>
      <w:r w:rsidR="00DF40B1">
        <w:rPr>
          <w:rFonts w:ascii="Arial" w:eastAsia="Calibri" w:hAnsi="Arial" w:cs="Arial"/>
          <w:sz w:val="22"/>
          <w:szCs w:val="22"/>
          <w:lang w:val="es-AR" w:eastAsia="es-AR"/>
        </w:rPr>
        <w:t xml:space="preserve"> (Testigo)</w:t>
      </w:r>
      <w:r w:rsidR="00980439">
        <w:rPr>
          <w:rFonts w:ascii="Arial" w:eastAsia="Calibri" w:hAnsi="Arial" w:cs="Arial"/>
          <w:sz w:val="22"/>
          <w:szCs w:val="22"/>
          <w:lang w:val="es-AR" w:eastAsia="es-AR"/>
        </w:rPr>
        <w:t>, además de degradar progresivamente la fertilidad del suelo,</w:t>
      </w:r>
      <w:r w:rsidR="00633BAF">
        <w:rPr>
          <w:rFonts w:ascii="Arial" w:eastAsia="Calibri" w:hAnsi="Arial" w:cs="Arial"/>
          <w:sz w:val="22"/>
          <w:szCs w:val="22"/>
          <w:lang w:val="es-AR" w:eastAsia="es-AR"/>
        </w:rPr>
        <w:t xml:space="preserve"> en el período evaluado</w:t>
      </w:r>
      <w:r w:rsidR="00980439">
        <w:rPr>
          <w:rFonts w:ascii="Arial" w:eastAsia="Calibri" w:hAnsi="Arial" w:cs="Arial"/>
          <w:sz w:val="22"/>
          <w:szCs w:val="22"/>
          <w:lang w:val="es-AR" w:eastAsia="es-AR"/>
        </w:rPr>
        <w:t xml:space="preserve"> generó lucro</w:t>
      </w:r>
      <w:r w:rsidR="008B70D8">
        <w:rPr>
          <w:rFonts w:ascii="Arial" w:eastAsia="Calibri" w:hAnsi="Arial" w:cs="Arial"/>
          <w:sz w:val="22"/>
          <w:szCs w:val="22"/>
          <w:lang w:val="es-AR" w:eastAsia="es-AR"/>
        </w:rPr>
        <w:t>s</w:t>
      </w:r>
      <w:r w:rsidR="00980439">
        <w:rPr>
          <w:rFonts w:ascii="Arial" w:eastAsia="Calibri" w:hAnsi="Arial" w:cs="Arial"/>
          <w:sz w:val="22"/>
          <w:szCs w:val="22"/>
          <w:lang w:val="es-AR" w:eastAsia="es-AR"/>
        </w:rPr>
        <w:t xml:space="preserve"> cesante</w:t>
      </w:r>
      <w:r w:rsidR="008B70D8">
        <w:rPr>
          <w:rFonts w:ascii="Arial" w:eastAsia="Calibri" w:hAnsi="Arial" w:cs="Arial"/>
          <w:sz w:val="22"/>
          <w:szCs w:val="22"/>
          <w:lang w:val="es-AR" w:eastAsia="es-AR"/>
        </w:rPr>
        <w:t>s</w:t>
      </w:r>
      <w:r w:rsidR="00980439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8B70D8">
        <w:rPr>
          <w:rFonts w:ascii="Arial" w:eastAsia="Calibri" w:hAnsi="Arial" w:cs="Arial"/>
          <w:sz w:val="22"/>
          <w:szCs w:val="22"/>
          <w:lang w:val="es-AR" w:eastAsia="es-AR"/>
        </w:rPr>
        <w:t xml:space="preserve">por </w:t>
      </w:r>
      <w:r w:rsidR="00AB5FA3">
        <w:rPr>
          <w:rFonts w:ascii="Arial" w:eastAsia="Calibri" w:hAnsi="Arial" w:cs="Arial"/>
          <w:sz w:val="22"/>
          <w:szCs w:val="22"/>
          <w:lang w:val="es-AR" w:eastAsia="es-AR"/>
        </w:rPr>
        <w:t>367</w:t>
      </w:r>
      <w:r w:rsidR="008B70D8">
        <w:rPr>
          <w:rFonts w:ascii="Arial" w:eastAsia="Calibri" w:hAnsi="Arial" w:cs="Arial"/>
          <w:sz w:val="22"/>
          <w:szCs w:val="22"/>
          <w:lang w:val="es-AR" w:eastAsia="es-AR"/>
        </w:rPr>
        <w:t xml:space="preserve">, </w:t>
      </w:r>
      <w:r w:rsidR="00AB5FA3">
        <w:rPr>
          <w:rFonts w:ascii="Arial" w:eastAsia="Calibri" w:hAnsi="Arial" w:cs="Arial"/>
          <w:sz w:val="22"/>
          <w:szCs w:val="22"/>
          <w:lang w:val="es-AR" w:eastAsia="es-AR"/>
        </w:rPr>
        <w:t>211</w:t>
      </w:r>
      <w:r w:rsidR="008B70D8">
        <w:rPr>
          <w:rFonts w:ascii="Arial" w:eastAsia="Calibri" w:hAnsi="Arial" w:cs="Arial"/>
          <w:sz w:val="22"/>
          <w:szCs w:val="22"/>
          <w:lang w:val="es-AR" w:eastAsia="es-AR"/>
        </w:rPr>
        <w:t xml:space="preserve">, </w:t>
      </w:r>
      <w:r w:rsidR="00AB5FA3">
        <w:rPr>
          <w:rFonts w:ascii="Arial" w:eastAsia="Calibri" w:hAnsi="Arial" w:cs="Arial"/>
          <w:sz w:val="22"/>
          <w:szCs w:val="22"/>
          <w:lang w:val="es-AR" w:eastAsia="es-AR"/>
        </w:rPr>
        <w:t>156</w:t>
      </w:r>
      <w:r w:rsidR="008B70D8">
        <w:rPr>
          <w:rFonts w:ascii="Arial" w:eastAsia="Calibri" w:hAnsi="Arial" w:cs="Arial"/>
          <w:sz w:val="22"/>
          <w:szCs w:val="22"/>
          <w:lang w:val="es-AR" w:eastAsia="es-AR"/>
        </w:rPr>
        <w:t xml:space="preserve">, </w:t>
      </w:r>
      <w:r w:rsidR="00AB5FA3">
        <w:rPr>
          <w:rFonts w:ascii="Arial" w:eastAsia="Calibri" w:hAnsi="Arial" w:cs="Arial"/>
          <w:sz w:val="22"/>
          <w:szCs w:val="22"/>
          <w:lang w:val="es-AR" w:eastAsia="es-AR"/>
        </w:rPr>
        <w:t>177</w:t>
      </w:r>
      <w:r w:rsidR="008B70D8">
        <w:rPr>
          <w:rFonts w:ascii="Arial" w:eastAsia="Calibri" w:hAnsi="Arial" w:cs="Arial"/>
          <w:sz w:val="22"/>
          <w:szCs w:val="22"/>
          <w:lang w:val="es-AR" w:eastAsia="es-AR"/>
        </w:rPr>
        <w:t xml:space="preserve">, y </w:t>
      </w:r>
      <w:r w:rsidR="00AB5FA3">
        <w:rPr>
          <w:rFonts w:ascii="Arial" w:eastAsia="Calibri" w:hAnsi="Arial" w:cs="Arial"/>
          <w:sz w:val="22"/>
          <w:szCs w:val="22"/>
          <w:lang w:val="es-AR" w:eastAsia="es-AR"/>
        </w:rPr>
        <w:t>77</w:t>
      </w:r>
      <w:r w:rsidR="008B70D8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3B65AC">
        <w:rPr>
          <w:rFonts w:ascii="Arial" w:eastAsia="Calibri" w:hAnsi="Arial" w:cs="Arial"/>
          <w:sz w:val="22"/>
          <w:szCs w:val="22"/>
          <w:lang w:val="es-AR" w:eastAsia="es-AR"/>
        </w:rPr>
        <w:t>US$</w:t>
      </w:r>
      <w:r w:rsidR="008B70D8">
        <w:rPr>
          <w:rFonts w:ascii="Arial" w:eastAsia="Calibri" w:hAnsi="Arial" w:cs="Arial"/>
          <w:sz w:val="22"/>
          <w:szCs w:val="22"/>
          <w:lang w:val="es-AR" w:eastAsia="es-AR"/>
        </w:rPr>
        <w:t xml:space="preserve"> ha</w:t>
      </w:r>
      <w:r w:rsidR="008B70D8" w:rsidRPr="008B70D8">
        <w:rPr>
          <w:rFonts w:ascii="Arial" w:eastAsia="Calibri" w:hAnsi="Arial" w:cs="Arial"/>
          <w:sz w:val="22"/>
          <w:szCs w:val="22"/>
          <w:vertAlign w:val="superscript"/>
          <w:lang w:val="es-AR" w:eastAsia="es-AR"/>
        </w:rPr>
        <w:t>-1</w:t>
      </w:r>
      <w:r w:rsidR="008B70D8">
        <w:rPr>
          <w:rFonts w:ascii="Arial" w:eastAsia="Calibri" w:hAnsi="Arial" w:cs="Arial"/>
          <w:sz w:val="22"/>
          <w:szCs w:val="22"/>
          <w:lang w:val="es-AR" w:eastAsia="es-AR"/>
        </w:rPr>
        <w:t xml:space="preserve"> año</w:t>
      </w:r>
      <w:r w:rsidR="008B70D8" w:rsidRPr="008B70D8">
        <w:rPr>
          <w:rFonts w:ascii="Arial" w:eastAsia="Calibri" w:hAnsi="Arial" w:cs="Arial"/>
          <w:sz w:val="22"/>
          <w:szCs w:val="22"/>
          <w:vertAlign w:val="superscript"/>
          <w:lang w:val="es-AR" w:eastAsia="es-AR"/>
        </w:rPr>
        <w:t>-1</w:t>
      </w:r>
      <w:r w:rsidR="008B70D8">
        <w:rPr>
          <w:rFonts w:ascii="Arial" w:eastAsia="Calibri" w:hAnsi="Arial" w:cs="Arial"/>
          <w:sz w:val="22"/>
          <w:szCs w:val="22"/>
          <w:lang w:val="es-AR" w:eastAsia="es-AR"/>
        </w:rPr>
        <w:t xml:space="preserve"> en Balducchi, San Alfredo, La Blanca, La Hansa, y Lambaré, respectivamente.</w:t>
      </w:r>
    </w:p>
    <w:p w:rsidR="0014445A" w:rsidRDefault="00E809CB" w:rsidP="00D278E9">
      <w:pPr>
        <w:autoSpaceDE w:val="0"/>
        <w:autoSpaceDN w:val="0"/>
        <w:adjustRightInd w:val="0"/>
        <w:spacing w:line="288" w:lineRule="auto"/>
        <w:jc w:val="center"/>
        <w:outlineLvl w:val="0"/>
        <w:rPr>
          <w:rFonts w:ascii="Arial" w:eastAsia="Calibri" w:hAnsi="Arial" w:cs="Arial"/>
          <w:sz w:val="22"/>
          <w:szCs w:val="22"/>
          <w:lang w:val="es-AR" w:eastAsia="es-AR"/>
        </w:rPr>
      </w:pPr>
      <w:r>
        <w:rPr>
          <w:rFonts w:ascii="Arial" w:eastAsia="Calibri" w:hAnsi="Arial" w:cs="Arial"/>
          <w:noProof/>
          <w:sz w:val="22"/>
          <w:szCs w:val="22"/>
          <w:lang w:val="es-AR" w:eastAsia="es-AR"/>
        </w:rPr>
        <w:lastRenderedPageBreak/>
        <w:drawing>
          <wp:inline distT="0" distB="0" distL="0" distR="0">
            <wp:extent cx="3505200" cy="2820924"/>
            <wp:effectExtent l="19050" t="0" r="0" b="0"/>
            <wp:docPr id="3" name="Picture 2" descr="Fig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3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82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9DB" w:rsidRPr="00BE1297" w:rsidRDefault="00D459DB" w:rsidP="00D459DB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18"/>
          <w:szCs w:val="22"/>
          <w:lang w:val="es-AR" w:eastAsia="es-AR"/>
        </w:rPr>
      </w:pPr>
      <w:r w:rsidRPr="00BE1297">
        <w:rPr>
          <w:rFonts w:ascii="Arial" w:hAnsi="Arial" w:cs="Arial"/>
          <w:b/>
          <w:sz w:val="18"/>
          <w:szCs w:val="20"/>
        </w:rPr>
        <w:t xml:space="preserve">Figura </w:t>
      </w:r>
      <w:r w:rsidR="00CB4CA9" w:rsidRPr="00BE1297">
        <w:rPr>
          <w:rFonts w:ascii="Arial" w:hAnsi="Arial" w:cs="Arial"/>
          <w:b/>
          <w:sz w:val="18"/>
          <w:szCs w:val="20"/>
        </w:rPr>
        <w:t>3</w:t>
      </w:r>
      <w:r w:rsidRPr="00BE1297">
        <w:rPr>
          <w:rFonts w:ascii="Arial" w:hAnsi="Arial" w:cs="Arial"/>
          <w:sz w:val="18"/>
          <w:szCs w:val="20"/>
        </w:rPr>
        <w:t xml:space="preserve">. Retorno </w:t>
      </w:r>
      <w:r w:rsidR="008421B5" w:rsidRPr="00BE1297">
        <w:rPr>
          <w:rFonts w:ascii="Arial" w:hAnsi="Arial" w:cs="Arial"/>
          <w:sz w:val="18"/>
          <w:szCs w:val="20"/>
        </w:rPr>
        <w:t xml:space="preserve">medio </w:t>
      </w:r>
      <w:r w:rsidRPr="00BE1297">
        <w:rPr>
          <w:rFonts w:ascii="Arial" w:hAnsi="Arial" w:cs="Arial"/>
          <w:sz w:val="18"/>
          <w:szCs w:val="20"/>
        </w:rPr>
        <w:t>de inversión (</w:t>
      </w:r>
      <w:r w:rsidR="003B65AC">
        <w:rPr>
          <w:rFonts w:ascii="Arial" w:hAnsi="Arial" w:cs="Arial"/>
          <w:sz w:val="18"/>
          <w:szCs w:val="20"/>
        </w:rPr>
        <w:t>US$</w:t>
      </w:r>
      <w:r w:rsidRPr="00BE1297">
        <w:rPr>
          <w:rFonts w:ascii="Arial" w:hAnsi="Arial" w:cs="Arial"/>
          <w:sz w:val="18"/>
          <w:szCs w:val="20"/>
        </w:rPr>
        <w:t xml:space="preserve"> </w:t>
      </w:r>
      <w:r w:rsidR="003B65AC">
        <w:rPr>
          <w:rFonts w:ascii="Arial" w:hAnsi="Arial" w:cs="Arial"/>
          <w:sz w:val="18"/>
          <w:szCs w:val="20"/>
        </w:rPr>
        <w:t>US$</w:t>
      </w:r>
      <w:r w:rsidRPr="00BE1297">
        <w:rPr>
          <w:rFonts w:ascii="Arial" w:hAnsi="Arial" w:cs="Arial"/>
          <w:sz w:val="18"/>
          <w:szCs w:val="20"/>
          <w:vertAlign w:val="superscript"/>
        </w:rPr>
        <w:t>-1</w:t>
      </w:r>
      <w:r w:rsidRPr="00BE1297">
        <w:rPr>
          <w:rFonts w:ascii="Arial" w:hAnsi="Arial" w:cs="Arial"/>
          <w:sz w:val="18"/>
          <w:szCs w:val="20"/>
        </w:rPr>
        <w:t xml:space="preserve"> invertido) para los diferentes tratamientos de fertilización en los </w:t>
      </w:r>
      <w:r w:rsidR="008421B5" w:rsidRPr="00BE1297">
        <w:rPr>
          <w:rFonts w:ascii="Arial" w:hAnsi="Arial" w:cs="Arial"/>
          <w:sz w:val="18"/>
          <w:szCs w:val="20"/>
        </w:rPr>
        <w:t>cinco</w:t>
      </w:r>
      <w:r w:rsidRPr="00BE1297">
        <w:rPr>
          <w:rFonts w:ascii="Arial" w:hAnsi="Arial" w:cs="Arial"/>
          <w:sz w:val="18"/>
          <w:szCs w:val="20"/>
        </w:rPr>
        <w:t xml:space="preserve"> sitios evaluados.</w:t>
      </w:r>
      <w:r w:rsidR="008421B5" w:rsidRPr="00BE1297">
        <w:rPr>
          <w:rFonts w:ascii="Arial" w:hAnsi="Arial" w:cs="Arial"/>
          <w:sz w:val="18"/>
          <w:szCs w:val="20"/>
        </w:rPr>
        <w:t xml:space="preserve"> </w:t>
      </w:r>
      <w:r w:rsidR="008421B5" w:rsidRPr="00BE1297">
        <w:rPr>
          <w:rFonts w:ascii="Arial" w:hAnsi="Arial" w:cs="Arial"/>
          <w:iCs/>
          <w:color w:val="000000"/>
          <w:sz w:val="18"/>
          <w:szCs w:val="20"/>
        </w:rPr>
        <w:t>Campañas 2000/01 a 2012/13.</w:t>
      </w:r>
      <w:r w:rsidRPr="00BE1297">
        <w:rPr>
          <w:rFonts w:ascii="Arial" w:hAnsi="Arial" w:cs="Arial"/>
          <w:iCs/>
          <w:color w:val="000000"/>
          <w:sz w:val="18"/>
          <w:szCs w:val="20"/>
        </w:rPr>
        <w:t xml:space="preserve"> Red de Nutrición </w:t>
      </w:r>
      <w:r w:rsidR="00B35F6F" w:rsidRPr="00BE1297">
        <w:rPr>
          <w:rFonts w:ascii="Arial" w:hAnsi="Arial" w:cs="Arial"/>
          <w:iCs/>
          <w:color w:val="000000"/>
          <w:sz w:val="18"/>
          <w:szCs w:val="20"/>
        </w:rPr>
        <w:t xml:space="preserve">de la </w:t>
      </w:r>
      <w:r w:rsidRPr="00BE1297">
        <w:rPr>
          <w:rFonts w:ascii="Arial" w:hAnsi="Arial" w:cs="Arial"/>
          <w:iCs/>
          <w:color w:val="000000"/>
          <w:sz w:val="18"/>
          <w:szCs w:val="20"/>
        </w:rPr>
        <w:t>Región CREA Sur de Santa Fe.</w:t>
      </w:r>
      <w:r w:rsidR="00F11535" w:rsidRPr="00BE1297">
        <w:rPr>
          <w:rFonts w:ascii="Arial" w:hAnsi="Arial" w:cs="Arial"/>
          <w:iCs/>
          <w:color w:val="000000"/>
          <w:sz w:val="18"/>
          <w:szCs w:val="20"/>
        </w:rPr>
        <w:t xml:space="preserve"> La línea horizontal i</w:t>
      </w:r>
      <w:r w:rsidR="00FA4968" w:rsidRPr="00BE1297">
        <w:rPr>
          <w:rFonts w:ascii="Arial" w:hAnsi="Arial" w:cs="Arial"/>
          <w:iCs/>
          <w:color w:val="000000"/>
          <w:sz w:val="18"/>
          <w:szCs w:val="20"/>
        </w:rPr>
        <w:t>ndica el umbral de indiferencia</w:t>
      </w:r>
      <w:r w:rsidR="00F11535" w:rsidRPr="00BE1297">
        <w:rPr>
          <w:rFonts w:ascii="Arial" w:hAnsi="Arial" w:cs="Arial"/>
          <w:iCs/>
          <w:color w:val="000000"/>
          <w:sz w:val="18"/>
          <w:szCs w:val="20"/>
        </w:rPr>
        <w:t>.</w:t>
      </w:r>
      <w:r w:rsidRPr="00BE1297">
        <w:rPr>
          <w:rFonts w:ascii="Arial" w:hAnsi="Arial" w:cs="Arial"/>
          <w:iCs/>
          <w:color w:val="000000"/>
          <w:sz w:val="18"/>
          <w:szCs w:val="20"/>
        </w:rPr>
        <w:t xml:space="preserve"> Letras distintas indican diferencias significativas entre tratamientos dentro de un mismo sitio</w:t>
      </w:r>
      <w:r w:rsidR="00384071" w:rsidRPr="00BE1297">
        <w:rPr>
          <w:rFonts w:ascii="Arial" w:hAnsi="Arial" w:cs="Arial"/>
          <w:iCs/>
          <w:color w:val="000000"/>
          <w:sz w:val="18"/>
          <w:szCs w:val="20"/>
        </w:rPr>
        <w:t>,</w:t>
      </w:r>
      <w:r w:rsidRPr="00BE1297">
        <w:rPr>
          <w:rFonts w:ascii="Arial" w:hAnsi="Arial" w:cs="Arial"/>
          <w:iCs/>
          <w:color w:val="000000"/>
          <w:sz w:val="18"/>
          <w:szCs w:val="20"/>
        </w:rPr>
        <w:t xml:space="preserve"> según Tukey al 5%. </w:t>
      </w:r>
    </w:p>
    <w:p w:rsidR="00AB5FA3" w:rsidRDefault="00AB5FA3" w:rsidP="004F501E">
      <w:pPr>
        <w:autoSpaceDE w:val="0"/>
        <w:autoSpaceDN w:val="0"/>
        <w:adjustRightInd w:val="0"/>
        <w:spacing w:line="288" w:lineRule="auto"/>
        <w:ind w:left="1644" w:hanging="1644"/>
        <w:outlineLvl w:val="0"/>
        <w:rPr>
          <w:rFonts w:ascii="Arial" w:hAnsi="Arial" w:cs="Arial"/>
          <w:b/>
          <w:bCs/>
          <w:lang w:val="es-AR"/>
        </w:rPr>
      </w:pPr>
    </w:p>
    <w:p w:rsidR="004F501E" w:rsidRPr="0027482F" w:rsidRDefault="004F501E" w:rsidP="004F501E">
      <w:pPr>
        <w:autoSpaceDE w:val="0"/>
        <w:autoSpaceDN w:val="0"/>
        <w:adjustRightInd w:val="0"/>
        <w:spacing w:line="288" w:lineRule="auto"/>
        <w:ind w:left="1644" w:hanging="1644"/>
        <w:outlineLvl w:val="0"/>
        <w:rPr>
          <w:rFonts w:ascii="Arial" w:hAnsi="Arial" w:cs="Arial"/>
          <w:b/>
          <w:bCs/>
          <w:lang w:val="es-AR"/>
        </w:rPr>
      </w:pPr>
      <w:r w:rsidRPr="0027482F">
        <w:rPr>
          <w:rFonts w:ascii="Arial" w:hAnsi="Arial" w:cs="Arial"/>
          <w:b/>
          <w:bCs/>
          <w:lang w:val="es-AR"/>
        </w:rPr>
        <w:t>CONCLUSIÓN</w:t>
      </w:r>
    </w:p>
    <w:p w:rsidR="00E20A30" w:rsidRDefault="00F11535" w:rsidP="00F11535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Arial" w:eastAsia="Calibri" w:hAnsi="Arial" w:cs="Arial"/>
          <w:sz w:val="22"/>
          <w:szCs w:val="22"/>
          <w:lang w:val="es-AR" w:eastAsia="es-AR"/>
        </w:rPr>
      </w:pPr>
      <w:r>
        <w:rPr>
          <w:rFonts w:ascii="Arial" w:eastAsia="Calibri" w:hAnsi="Arial" w:cs="Arial"/>
          <w:sz w:val="22"/>
          <w:szCs w:val="22"/>
          <w:lang w:val="es-AR" w:eastAsia="es-AR"/>
        </w:rPr>
        <w:t>En este trabajo se muestra cómo</w:t>
      </w:r>
      <w:r w:rsidR="00142040">
        <w:rPr>
          <w:rFonts w:ascii="Arial" w:eastAsia="Calibri" w:hAnsi="Arial" w:cs="Arial"/>
          <w:sz w:val="22"/>
          <w:szCs w:val="22"/>
          <w:lang w:val="es-AR" w:eastAsia="es-AR"/>
        </w:rPr>
        <w:t>,</w:t>
      </w: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142040">
        <w:rPr>
          <w:rFonts w:ascii="Arial" w:eastAsia="Calibri" w:hAnsi="Arial" w:cs="Arial"/>
          <w:sz w:val="22"/>
          <w:szCs w:val="22"/>
          <w:lang w:val="es-AR" w:eastAsia="es-AR"/>
        </w:rPr>
        <w:t xml:space="preserve">en el largo plazo, </w:t>
      </w:r>
      <w:r>
        <w:rPr>
          <w:rFonts w:ascii="Arial" w:eastAsia="Calibri" w:hAnsi="Arial" w:cs="Arial"/>
          <w:sz w:val="22"/>
          <w:szCs w:val="22"/>
          <w:lang w:val="es-AR" w:eastAsia="es-AR"/>
        </w:rPr>
        <w:t>la</w:t>
      </w:r>
      <w:r w:rsidR="00142040">
        <w:rPr>
          <w:rFonts w:ascii="Arial" w:eastAsia="Calibri" w:hAnsi="Arial" w:cs="Arial"/>
          <w:sz w:val="22"/>
          <w:szCs w:val="22"/>
          <w:lang w:val="es-AR" w:eastAsia="es-AR"/>
        </w:rPr>
        <w:t>s dimensio</w:t>
      </w:r>
      <w:r>
        <w:rPr>
          <w:rFonts w:ascii="Arial" w:eastAsia="Calibri" w:hAnsi="Arial" w:cs="Arial"/>
          <w:sz w:val="22"/>
          <w:szCs w:val="22"/>
          <w:lang w:val="es-AR" w:eastAsia="es-AR"/>
        </w:rPr>
        <w:t>n</w:t>
      </w:r>
      <w:r w:rsidR="00142040">
        <w:rPr>
          <w:rFonts w:ascii="Arial" w:eastAsia="Calibri" w:hAnsi="Arial" w:cs="Arial"/>
          <w:sz w:val="22"/>
          <w:szCs w:val="22"/>
          <w:lang w:val="es-AR" w:eastAsia="es-AR"/>
        </w:rPr>
        <w:t>es</w:t>
      </w: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142040">
        <w:rPr>
          <w:rFonts w:ascii="Arial" w:eastAsia="Calibri" w:hAnsi="Arial" w:cs="Arial"/>
          <w:sz w:val="22"/>
          <w:szCs w:val="22"/>
          <w:lang w:val="es-AR" w:eastAsia="es-AR"/>
        </w:rPr>
        <w:t xml:space="preserve">productiva y </w:t>
      </w: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económica </w:t>
      </w:r>
      <w:r w:rsidR="00493288">
        <w:rPr>
          <w:rFonts w:ascii="Arial" w:eastAsia="Calibri" w:hAnsi="Arial" w:cs="Arial"/>
          <w:sz w:val="22"/>
          <w:szCs w:val="22"/>
          <w:lang w:val="es-AR" w:eastAsia="es-AR"/>
        </w:rPr>
        <w:t>expresa</w:t>
      </w:r>
      <w:r w:rsidR="00142040">
        <w:rPr>
          <w:rFonts w:ascii="Arial" w:eastAsia="Calibri" w:hAnsi="Arial" w:cs="Arial"/>
          <w:sz w:val="22"/>
          <w:szCs w:val="22"/>
          <w:lang w:val="es-AR" w:eastAsia="es-AR"/>
        </w:rPr>
        <w:t>n</w:t>
      </w:r>
      <w:r w:rsidR="00493288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142040">
        <w:rPr>
          <w:rFonts w:ascii="Arial" w:eastAsia="Calibri" w:hAnsi="Arial" w:cs="Arial"/>
          <w:sz w:val="22"/>
          <w:szCs w:val="22"/>
          <w:lang w:val="es-AR" w:eastAsia="es-AR"/>
        </w:rPr>
        <w:t>los efectos</w:t>
      </w: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142040">
        <w:rPr>
          <w:rFonts w:ascii="Arial" w:eastAsia="Calibri" w:hAnsi="Arial" w:cs="Arial"/>
          <w:sz w:val="22"/>
          <w:szCs w:val="22"/>
          <w:lang w:val="es-AR" w:eastAsia="es-AR"/>
        </w:rPr>
        <w:t>del manejo</w:t>
      </w:r>
      <w:r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493288">
        <w:rPr>
          <w:rFonts w:ascii="Arial" w:eastAsia="Calibri" w:hAnsi="Arial" w:cs="Arial"/>
          <w:sz w:val="22"/>
          <w:szCs w:val="22"/>
          <w:lang w:val="es-AR" w:eastAsia="es-AR"/>
        </w:rPr>
        <w:t>de</w:t>
      </w:r>
      <w:r w:rsidR="00891636">
        <w:rPr>
          <w:rFonts w:ascii="Arial" w:eastAsia="Calibri" w:hAnsi="Arial" w:cs="Arial"/>
          <w:sz w:val="22"/>
          <w:szCs w:val="22"/>
          <w:lang w:val="es-AR" w:eastAsia="es-AR"/>
        </w:rPr>
        <w:t xml:space="preserve"> la</w:t>
      </w:r>
      <w:r w:rsidR="00493288">
        <w:rPr>
          <w:rFonts w:ascii="Arial" w:eastAsia="Calibri" w:hAnsi="Arial" w:cs="Arial"/>
          <w:sz w:val="22"/>
          <w:szCs w:val="22"/>
          <w:lang w:val="es-AR" w:eastAsia="es-AR"/>
        </w:rPr>
        <w:t xml:space="preserve"> fertilización</w:t>
      </w:r>
      <w:r w:rsidR="003A5D3D">
        <w:rPr>
          <w:rFonts w:ascii="Arial" w:eastAsia="Calibri" w:hAnsi="Arial" w:cs="Arial"/>
          <w:sz w:val="22"/>
          <w:szCs w:val="22"/>
          <w:lang w:val="es-AR" w:eastAsia="es-AR"/>
        </w:rPr>
        <w:t xml:space="preserve">. </w:t>
      </w:r>
      <w:r w:rsidR="00AA6B63">
        <w:rPr>
          <w:rFonts w:ascii="Arial" w:eastAsia="Calibri" w:hAnsi="Arial" w:cs="Arial"/>
          <w:sz w:val="22"/>
          <w:szCs w:val="22"/>
          <w:lang w:val="es-AR" w:eastAsia="es-AR"/>
        </w:rPr>
        <w:t>L</w:t>
      </w:r>
      <w:r w:rsidR="00ED2E41">
        <w:rPr>
          <w:rFonts w:ascii="Arial" w:eastAsia="Calibri" w:hAnsi="Arial" w:cs="Arial"/>
          <w:sz w:val="22"/>
          <w:szCs w:val="22"/>
          <w:lang w:val="es-AR" w:eastAsia="es-AR"/>
        </w:rPr>
        <w:t>a disponibilidad de nutrientes en el suelo, la historia del lote y el nivel de rendimiento de los cultivos</w:t>
      </w:r>
      <w:r w:rsidR="00D76A9E">
        <w:rPr>
          <w:rFonts w:ascii="Arial" w:eastAsia="Calibri" w:hAnsi="Arial" w:cs="Arial"/>
          <w:sz w:val="22"/>
          <w:szCs w:val="22"/>
          <w:lang w:val="es-AR" w:eastAsia="es-AR"/>
        </w:rPr>
        <w:t xml:space="preserve"> determinaron respuestas y resultados económicos específicos por sitio</w:t>
      </w:r>
      <w:r w:rsidR="00C86C17">
        <w:rPr>
          <w:rFonts w:ascii="Arial" w:eastAsia="Calibri" w:hAnsi="Arial" w:cs="Arial"/>
          <w:sz w:val="22"/>
          <w:szCs w:val="22"/>
          <w:lang w:val="es-AR" w:eastAsia="es-AR"/>
        </w:rPr>
        <w:t>.</w:t>
      </w:r>
      <w:r w:rsidR="00ED2E41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B735D3">
        <w:rPr>
          <w:rFonts w:ascii="Arial" w:eastAsia="Calibri" w:hAnsi="Arial" w:cs="Arial"/>
          <w:sz w:val="22"/>
          <w:szCs w:val="22"/>
          <w:lang w:val="es-AR" w:eastAsia="es-AR"/>
        </w:rPr>
        <w:t>En general</w:t>
      </w:r>
      <w:r w:rsidR="00142040">
        <w:rPr>
          <w:rFonts w:ascii="Arial" w:eastAsia="Calibri" w:hAnsi="Arial" w:cs="Arial"/>
          <w:sz w:val="22"/>
          <w:szCs w:val="22"/>
          <w:lang w:val="es-AR" w:eastAsia="es-AR"/>
        </w:rPr>
        <w:t xml:space="preserve">, </w:t>
      </w:r>
      <w:r w:rsidR="00E20A30">
        <w:rPr>
          <w:rFonts w:ascii="Arial" w:eastAsia="Calibri" w:hAnsi="Arial" w:cs="Arial"/>
          <w:sz w:val="22"/>
          <w:szCs w:val="22"/>
          <w:lang w:val="es-AR" w:eastAsia="es-AR"/>
        </w:rPr>
        <w:t xml:space="preserve">las mayores ganancias </w:t>
      </w:r>
      <w:r w:rsidR="00142040">
        <w:rPr>
          <w:rFonts w:ascii="Arial" w:eastAsia="Calibri" w:hAnsi="Arial" w:cs="Arial"/>
          <w:sz w:val="22"/>
          <w:szCs w:val="22"/>
          <w:lang w:val="es-AR" w:eastAsia="es-AR"/>
        </w:rPr>
        <w:t xml:space="preserve">acumuladas correspondieron </w:t>
      </w:r>
      <w:r w:rsidR="00DF40B1">
        <w:rPr>
          <w:rFonts w:ascii="Arial" w:eastAsia="Calibri" w:hAnsi="Arial" w:cs="Arial"/>
          <w:sz w:val="22"/>
          <w:szCs w:val="22"/>
          <w:lang w:val="es-AR" w:eastAsia="es-AR"/>
        </w:rPr>
        <w:t>al manejo</w:t>
      </w:r>
      <w:r w:rsidR="00142040">
        <w:rPr>
          <w:rFonts w:ascii="Arial" w:eastAsia="Calibri" w:hAnsi="Arial" w:cs="Arial"/>
          <w:sz w:val="22"/>
          <w:szCs w:val="22"/>
          <w:lang w:val="es-AR" w:eastAsia="es-AR"/>
        </w:rPr>
        <w:t xml:space="preserve"> NPS, </w:t>
      </w:r>
      <w:r w:rsidR="00B735D3">
        <w:rPr>
          <w:rFonts w:ascii="Arial" w:eastAsia="Calibri" w:hAnsi="Arial" w:cs="Arial"/>
          <w:sz w:val="22"/>
          <w:szCs w:val="22"/>
          <w:lang w:val="es-AR" w:eastAsia="es-AR"/>
        </w:rPr>
        <w:t>indicando</w:t>
      </w:r>
      <w:r w:rsidR="00142040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7D332F">
        <w:rPr>
          <w:rFonts w:ascii="Arial" w:eastAsia="Calibri" w:hAnsi="Arial" w:cs="Arial"/>
          <w:sz w:val="22"/>
          <w:szCs w:val="22"/>
          <w:lang w:val="es-AR" w:eastAsia="es-AR"/>
        </w:rPr>
        <w:t>que además de</w:t>
      </w:r>
      <w:r w:rsidR="0028098A">
        <w:rPr>
          <w:rFonts w:ascii="Arial" w:eastAsia="Calibri" w:hAnsi="Arial" w:cs="Arial"/>
          <w:sz w:val="22"/>
          <w:szCs w:val="22"/>
          <w:lang w:val="es-AR" w:eastAsia="es-AR"/>
        </w:rPr>
        <w:t xml:space="preserve"> los beneficios sobre la fertilidad del suelo</w:t>
      </w:r>
      <w:r w:rsidR="007D332F">
        <w:rPr>
          <w:rFonts w:ascii="Arial" w:eastAsia="Calibri" w:hAnsi="Arial" w:cs="Arial"/>
          <w:sz w:val="22"/>
          <w:szCs w:val="22"/>
          <w:lang w:val="es-AR" w:eastAsia="es-AR"/>
        </w:rPr>
        <w:t>, existe un efecto económico alentador</w:t>
      </w:r>
      <w:r w:rsidR="00142040">
        <w:rPr>
          <w:rFonts w:ascii="Arial" w:eastAsia="Calibri" w:hAnsi="Arial" w:cs="Arial"/>
          <w:sz w:val="22"/>
          <w:szCs w:val="22"/>
          <w:lang w:val="es-AR" w:eastAsia="es-AR"/>
        </w:rPr>
        <w:t>.</w:t>
      </w:r>
      <w:r w:rsidR="00182A1A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633BAF">
        <w:rPr>
          <w:rFonts w:ascii="Arial" w:eastAsia="Calibri" w:hAnsi="Arial" w:cs="Arial"/>
          <w:sz w:val="22"/>
          <w:szCs w:val="22"/>
          <w:lang w:val="es-AR" w:eastAsia="es-AR"/>
        </w:rPr>
        <w:t>L</w:t>
      </w:r>
      <w:r w:rsidR="008421B5">
        <w:rPr>
          <w:rFonts w:ascii="Arial" w:eastAsia="Calibri" w:hAnsi="Arial" w:cs="Arial"/>
          <w:sz w:val="22"/>
          <w:szCs w:val="22"/>
          <w:lang w:val="es-AR" w:eastAsia="es-AR"/>
        </w:rPr>
        <w:t>a fertiliza</w:t>
      </w:r>
      <w:r w:rsidR="00F21F6B">
        <w:rPr>
          <w:rFonts w:ascii="Arial" w:eastAsia="Calibri" w:hAnsi="Arial" w:cs="Arial"/>
          <w:sz w:val="22"/>
          <w:szCs w:val="22"/>
          <w:lang w:val="es-AR" w:eastAsia="es-AR"/>
        </w:rPr>
        <w:t>ción</w:t>
      </w:r>
      <w:r w:rsidR="008421B5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B735D3">
        <w:rPr>
          <w:rFonts w:ascii="Arial" w:eastAsia="Calibri" w:hAnsi="Arial" w:cs="Arial"/>
          <w:sz w:val="22"/>
          <w:szCs w:val="22"/>
          <w:lang w:val="es-AR" w:eastAsia="es-AR"/>
        </w:rPr>
        <w:t xml:space="preserve">como práctica de manejo </w:t>
      </w:r>
      <w:r w:rsidR="008421B5">
        <w:rPr>
          <w:rFonts w:ascii="Arial" w:eastAsia="Calibri" w:hAnsi="Arial" w:cs="Arial"/>
          <w:sz w:val="22"/>
          <w:szCs w:val="22"/>
          <w:lang w:val="es-AR" w:eastAsia="es-AR"/>
        </w:rPr>
        <w:t>res</w:t>
      </w:r>
      <w:r w:rsidR="00D033B8">
        <w:rPr>
          <w:rFonts w:ascii="Arial" w:eastAsia="Calibri" w:hAnsi="Arial" w:cs="Arial"/>
          <w:sz w:val="22"/>
          <w:szCs w:val="22"/>
          <w:lang w:val="es-AR" w:eastAsia="es-AR"/>
        </w:rPr>
        <w:t xml:space="preserve">ultó rentable especialmente </w:t>
      </w:r>
      <w:r w:rsidR="00B735D3">
        <w:rPr>
          <w:rFonts w:ascii="Arial" w:eastAsia="Calibri" w:hAnsi="Arial" w:cs="Arial"/>
          <w:sz w:val="22"/>
          <w:szCs w:val="22"/>
          <w:lang w:val="es-AR" w:eastAsia="es-AR"/>
        </w:rPr>
        <w:t>cuando se</w:t>
      </w:r>
      <w:r w:rsidR="00142040">
        <w:rPr>
          <w:rFonts w:ascii="Arial" w:eastAsia="Calibri" w:hAnsi="Arial" w:cs="Arial"/>
          <w:sz w:val="22"/>
          <w:szCs w:val="22"/>
          <w:lang w:val="es-AR" w:eastAsia="es-AR"/>
        </w:rPr>
        <w:t xml:space="preserve"> incluy</w:t>
      </w:r>
      <w:r w:rsidR="00B735D3">
        <w:rPr>
          <w:rFonts w:ascii="Arial" w:eastAsia="Calibri" w:hAnsi="Arial" w:cs="Arial"/>
          <w:sz w:val="22"/>
          <w:szCs w:val="22"/>
          <w:lang w:val="es-AR" w:eastAsia="es-AR"/>
        </w:rPr>
        <w:t>ó</w:t>
      </w:r>
      <w:r w:rsidR="00142040">
        <w:rPr>
          <w:rFonts w:ascii="Arial" w:eastAsia="Calibri" w:hAnsi="Arial" w:cs="Arial"/>
          <w:sz w:val="22"/>
          <w:szCs w:val="22"/>
          <w:lang w:val="es-AR" w:eastAsia="es-AR"/>
        </w:rPr>
        <w:t xml:space="preserve"> S debido al bajo costo relativo</w:t>
      </w:r>
      <w:r w:rsidR="00B735D3">
        <w:rPr>
          <w:rFonts w:ascii="Arial" w:eastAsia="Calibri" w:hAnsi="Arial" w:cs="Arial"/>
          <w:sz w:val="22"/>
          <w:szCs w:val="22"/>
          <w:lang w:val="es-AR" w:eastAsia="es-AR"/>
        </w:rPr>
        <w:t xml:space="preserve"> de la</w:t>
      </w:r>
      <w:r w:rsidR="00B735D3" w:rsidRPr="00B735D3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B735D3">
        <w:rPr>
          <w:rFonts w:ascii="Arial" w:eastAsia="Calibri" w:hAnsi="Arial" w:cs="Arial"/>
          <w:sz w:val="22"/>
          <w:szCs w:val="22"/>
          <w:lang w:val="es-AR" w:eastAsia="es-AR"/>
        </w:rPr>
        <w:t>fertilización azufrada</w:t>
      </w:r>
      <w:r w:rsidR="00142040">
        <w:rPr>
          <w:rFonts w:ascii="Arial" w:eastAsia="Calibri" w:hAnsi="Arial" w:cs="Arial"/>
          <w:sz w:val="22"/>
          <w:szCs w:val="22"/>
          <w:lang w:val="es-AR" w:eastAsia="es-AR"/>
        </w:rPr>
        <w:t>, y a la creciente y cada vez más generalizada respuesta</w:t>
      </w:r>
      <w:r w:rsidR="00142040" w:rsidRPr="00142040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142040">
        <w:rPr>
          <w:rFonts w:ascii="Arial" w:eastAsia="Calibri" w:hAnsi="Arial" w:cs="Arial"/>
          <w:sz w:val="22"/>
          <w:szCs w:val="22"/>
          <w:lang w:val="es-AR" w:eastAsia="es-AR"/>
        </w:rPr>
        <w:t>al</w:t>
      </w:r>
      <w:r w:rsidR="00B735D3">
        <w:rPr>
          <w:rFonts w:ascii="Arial" w:eastAsia="Calibri" w:hAnsi="Arial" w:cs="Arial"/>
          <w:sz w:val="22"/>
          <w:szCs w:val="22"/>
          <w:lang w:val="es-AR" w:eastAsia="es-AR"/>
        </w:rPr>
        <w:t xml:space="preserve"> nutriente</w:t>
      </w:r>
      <w:r w:rsidR="00142040">
        <w:rPr>
          <w:rFonts w:ascii="Arial" w:eastAsia="Calibri" w:hAnsi="Arial" w:cs="Arial"/>
          <w:sz w:val="22"/>
          <w:szCs w:val="22"/>
          <w:lang w:val="es-AR" w:eastAsia="es-AR"/>
        </w:rPr>
        <w:t>.</w:t>
      </w:r>
      <w:r w:rsidR="00633BAF">
        <w:rPr>
          <w:rFonts w:ascii="Arial" w:eastAsia="Calibri" w:hAnsi="Arial" w:cs="Arial"/>
          <w:sz w:val="22"/>
          <w:szCs w:val="22"/>
          <w:lang w:val="es-AR" w:eastAsia="es-AR"/>
        </w:rPr>
        <w:t xml:space="preserve"> Finalmente, la decisión de</w:t>
      </w:r>
      <w:r w:rsidR="00182A1A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2D1462">
        <w:rPr>
          <w:rFonts w:ascii="Arial" w:eastAsia="Calibri" w:hAnsi="Arial" w:cs="Arial"/>
          <w:sz w:val="22"/>
          <w:szCs w:val="22"/>
          <w:lang w:val="es-AR" w:eastAsia="es-AR"/>
        </w:rPr>
        <w:t xml:space="preserve">no </w:t>
      </w:r>
      <w:r w:rsidR="00633BAF">
        <w:rPr>
          <w:rFonts w:ascii="Arial" w:eastAsia="Calibri" w:hAnsi="Arial" w:cs="Arial"/>
          <w:sz w:val="22"/>
          <w:szCs w:val="22"/>
          <w:lang w:val="es-AR" w:eastAsia="es-AR"/>
        </w:rPr>
        <w:t>aplicar fertiliza</w:t>
      </w:r>
      <w:r w:rsidR="002D1462">
        <w:rPr>
          <w:rFonts w:ascii="Arial" w:eastAsia="Calibri" w:hAnsi="Arial" w:cs="Arial"/>
          <w:sz w:val="22"/>
          <w:szCs w:val="22"/>
          <w:lang w:val="es-AR" w:eastAsia="es-AR"/>
        </w:rPr>
        <w:t>ntes</w:t>
      </w:r>
      <w:r w:rsidR="00633BAF">
        <w:rPr>
          <w:rFonts w:ascii="Arial" w:eastAsia="Calibri" w:hAnsi="Arial" w:cs="Arial"/>
          <w:sz w:val="22"/>
          <w:szCs w:val="22"/>
          <w:lang w:val="es-AR" w:eastAsia="es-AR"/>
        </w:rPr>
        <w:t xml:space="preserve"> generó lucros cesantes de entre </w:t>
      </w:r>
      <w:r w:rsidR="00AB5FA3">
        <w:rPr>
          <w:rFonts w:ascii="Arial" w:eastAsia="Calibri" w:hAnsi="Arial" w:cs="Arial"/>
          <w:sz w:val="22"/>
          <w:szCs w:val="22"/>
          <w:lang w:val="es-AR" w:eastAsia="es-AR"/>
        </w:rPr>
        <w:t>77</w:t>
      </w:r>
      <w:r w:rsidR="00633BAF">
        <w:rPr>
          <w:rFonts w:ascii="Arial" w:eastAsia="Calibri" w:hAnsi="Arial" w:cs="Arial"/>
          <w:sz w:val="22"/>
          <w:szCs w:val="22"/>
          <w:lang w:val="es-AR" w:eastAsia="es-AR"/>
        </w:rPr>
        <w:t xml:space="preserve"> a </w:t>
      </w:r>
      <w:r w:rsidR="00AB5FA3">
        <w:rPr>
          <w:rFonts w:ascii="Arial" w:eastAsia="Calibri" w:hAnsi="Arial" w:cs="Arial"/>
          <w:sz w:val="22"/>
          <w:szCs w:val="22"/>
          <w:lang w:val="es-AR" w:eastAsia="es-AR"/>
        </w:rPr>
        <w:t>367</w:t>
      </w:r>
      <w:r w:rsidR="00633BAF" w:rsidRPr="00633BAF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3B65AC">
        <w:rPr>
          <w:rFonts w:ascii="Arial" w:eastAsia="Calibri" w:hAnsi="Arial" w:cs="Arial"/>
          <w:sz w:val="22"/>
          <w:szCs w:val="22"/>
          <w:lang w:val="es-AR" w:eastAsia="es-AR"/>
        </w:rPr>
        <w:t>US$</w:t>
      </w:r>
      <w:r w:rsidR="00633BAF">
        <w:rPr>
          <w:rFonts w:ascii="Arial" w:eastAsia="Calibri" w:hAnsi="Arial" w:cs="Arial"/>
          <w:sz w:val="22"/>
          <w:szCs w:val="22"/>
          <w:lang w:val="es-AR" w:eastAsia="es-AR"/>
        </w:rPr>
        <w:t xml:space="preserve"> ha</w:t>
      </w:r>
      <w:r w:rsidR="00633BAF" w:rsidRPr="008B70D8">
        <w:rPr>
          <w:rFonts w:ascii="Arial" w:eastAsia="Calibri" w:hAnsi="Arial" w:cs="Arial"/>
          <w:sz w:val="22"/>
          <w:szCs w:val="22"/>
          <w:vertAlign w:val="superscript"/>
          <w:lang w:val="es-AR" w:eastAsia="es-AR"/>
        </w:rPr>
        <w:t>-1</w:t>
      </w:r>
      <w:r w:rsidR="00633BAF">
        <w:rPr>
          <w:rFonts w:ascii="Arial" w:eastAsia="Calibri" w:hAnsi="Arial" w:cs="Arial"/>
          <w:sz w:val="22"/>
          <w:szCs w:val="22"/>
          <w:lang w:val="es-AR" w:eastAsia="es-AR"/>
        </w:rPr>
        <w:t xml:space="preserve"> año</w:t>
      </w:r>
      <w:r w:rsidR="00633BAF" w:rsidRPr="008B70D8">
        <w:rPr>
          <w:rFonts w:ascii="Arial" w:eastAsia="Calibri" w:hAnsi="Arial" w:cs="Arial"/>
          <w:sz w:val="22"/>
          <w:szCs w:val="22"/>
          <w:vertAlign w:val="superscript"/>
          <w:lang w:val="es-AR" w:eastAsia="es-AR"/>
        </w:rPr>
        <w:t>-1</w:t>
      </w:r>
      <w:r w:rsidR="00633BAF">
        <w:rPr>
          <w:rFonts w:ascii="Arial" w:eastAsia="Calibri" w:hAnsi="Arial" w:cs="Arial"/>
          <w:sz w:val="22"/>
          <w:szCs w:val="22"/>
          <w:lang w:val="es-AR" w:eastAsia="es-AR"/>
        </w:rPr>
        <w:t>. Este costo</w:t>
      </w:r>
      <w:r w:rsidR="00B735D3">
        <w:rPr>
          <w:rFonts w:ascii="Arial" w:eastAsia="Calibri" w:hAnsi="Arial" w:cs="Arial"/>
          <w:sz w:val="22"/>
          <w:szCs w:val="22"/>
          <w:lang w:val="es-AR" w:eastAsia="es-AR"/>
        </w:rPr>
        <w:t>,</w:t>
      </w:r>
      <w:r w:rsidR="00633BAF">
        <w:rPr>
          <w:rFonts w:ascii="Arial" w:eastAsia="Calibri" w:hAnsi="Arial" w:cs="Arial"/>
          <w:sz w:val="22"/>
          <w:szCs w:val="22"/>
          <w:lang w:val="es-AR" w:eastAsia="es-AR"/>
        </w:rPr>
        <w:t xml:space="preserve"> sumado a l</w:t>
      </w:r>
      <w:r w:rsidR="00B735D3">
        <w:rPr>
          <w:rFonts w:ascii="Arial" w:eastAsia="Calibri" w:hAnsi="Arial" w:cs="Arial"/>
          <w:sz w:val="22"/>
          <w:szCs w:val="22"/>
          <w:lang w:val="es-AR" w:eastAsia="es-AR"/>
        </w:rPr>
        <w:t xml:space="preserve">a degradación del recurso suelo, </w:t>
      </w:r>
      <w:r w:rsidR="00891636">
        <w:rPr>
          <w:rFonts w:ascii="Arial" w:eastAsia="Calibri" w:hAnsi="Arial" w:cs="Arial"/>
          <w:sz w:val="22"/>
          <w:szCs w:val="22"/>
          <w:lang w:val="es-AR" w:eastAsia="es-AR"/>
        </w:rPr>
        <w:t>ratifica</w:t>
      </w:r>
      <w:r w:rsidR="00B735D3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  <w:r w:rsidR="00891636">
        <w:rPr>
          <w:rFonts w:ascii="Arial" w:eastAsia="Calibri" w:hAnsi="Arial" w:cs="Arial"/>
          <w:sz w:val="22"/>
          <w:szCs w:val="22"/>
          <w:lang w:val="es-AR" w:eastAsia="es-AR"/>
        </w:rPr>
        <w:t xml:space="preserve">como aspecto clave </w:t>
      </w:r>
      <w:r w:rsidR="00B735D3">
        <w:rPr>
          <w:rFonts w:ascii="Arial" w:eastAsia="Calibri" w:hAnsi="Arial" w:cs="Arial"/>
          <w:sz w:val="22"/>
          <w:szCs w:val="22"/>
          <w:lang w:val="es-AR" w:eastAsia="es-AR"/>
        </w:rPr>
        <w:t xml:space="preserve">la necesidad de un correcto manejo de la nutrición de </w:t>
      </w:r>
      <w:r w:rsidR="00891636">
        <w:rPr>
          <w:rFonts w:ascii="Arial" w:eastAsia="Calibri" w:hAnsi="Arial" w:cs="Arial"/>
          <w:sz w:val="22"/>
          <w:szCs w:val="22"/>
          <w:lang w:val="es-AR" w:eastAsia="es-AR"/>
        </w:rPr>
        <w:t xml:space="preserve">los </w:t>
      </w:r>
      <w:r w:rsidR="00B735D3">
        <w:rPr>
          <w:rFonts w:ascii="Arial" w:eastAsia="Calibri" w:hAnsi="Arial" w:cs="Arial"/>
          <w:sz w:val="22"/>
          <w:szCs w:val="22"/>
          <w:lang w:val="es-AR" w:eastAsia="es-AR"/>
        </w:rPr>
        <w:t xml:space="preserve">cultivos </w:t>
      </w:r>
      <w:r w:rsidR="002D1462">
        <w:rPr>
          <w:rFonts w:ascii="Arial" w:eastAsia="Calibri" w:hAnsi="Arial" w:cs="Arial"/>
          <w:sz w:val="22"/>
          <w:szCs w:val="22"/>
          <w:lang w:val="es-AR" w:eastAsia="es-AR"/>
        </w:rPr>
        <w:t>en un marco de</w:t>
      </w:r>
      <w:r w:rsidR="00B735D3">
        <w:rPr>
          <w:rFonts w:ascii="Arial" w:eastAsia="Calibri" w:hAnsi="Arial" w:cs="Arial"/>
          <w:sz w:val="22"/>
          <w:szCs w:val="22"/>
          <w:lang w:val="es-AR" w:eastAsia="es-AR"/>
        </w:rPr>
        <w:t xml:space="preserve"> sistemas de producción sustentables.</w:t>
      </w:r>
      <w:r w:rsidR="00C86C17">
        <w:rPr>
          <w:rFonts w:ascii="Arial" w:eastAsia="Calibri" w:hAnsi="Arial" w:cs="Arial"/>
          <w:sz w:val="22"/>
          <w:szCs w:val="22"/>
          <w:lang w:val="es-AR" w:eastAsia="es-AR"/>
        </w:rPr>
        <w:t xml:space="preserve"> </w:t>
      </w:r>
    </w:p>
    <w:p w:rsidR="00253B2A" w:rsidRDefault="00253B2A" w:rsidP="004F501E">
      <w:pPr>
        <w:autoSpaceDE w:val="0"/>
        <w:autoSpaceDN w:val="0"/>
        <w:adjustRightInd w:val="0"/>
        <w:spacing w:line="288" w:lineRule="auto"/>
        <w:ind w:left="1644" w:hanging="1644"/>
        <w:outlineLvl w:val="0"/>
        <w:rPr>
          <w:rFonts w:ascii="Arial" w:hAnsi="Arial" w:cs="Arial"/>
          <w:b/>
          <w:bCs/>
          <w:lang w:val="es-AR"/>
        </w:rPr>
      </w:pPr>
    </w:p>
    <w:p w:rsidR="004F501E" w:rsidRPr="0027482F" w:rsidRDefault="004F501E" w:rsidP="004F501E">
      <w:pPr>
        <w:autoSpaceDE w:val="0"/>
        <w:autoSpaceDN w:val="0"/>
        <w:adjustRightInd w:val="0"/>
        <w:spacing w:line="288" w:lineRule="auto"/>
        <w:ind w:left="1644" w:hanging="1644"/>
        <w:outlineLvl w:val="0"/>
        <w:rPr>
          <w:rFonts w:ascii="Arial" w:hAnsi="Arial" w:cs="Arial"/>
          <w:b/>
          <w:bCs/>
          <w:lang w:val="es-AR"/>
        </w:rPr>
      </w:pPr>
      <w:r w:rsidRPr="0027482F">
        <w:rPr>
          <w:rFonts w:ascii="Arial" w:hAnsi="Arial" w:cs="Arial"/>
          <w:b/>
          <w:bCs/>
          <w:lang w:val="es-AR"/>
        </w:rPr>
        <w:t>AGRADECIMIENTOS</w:t>
      </w:r>
    </w:p>
    <w:p w:rsidR="00CE6F7E" w:rsidRDefault="00493288" w:rsidP="00CE6F7E">
      <w:pPr>
        <w:autoSpaceDE w:val="0"/>
        <w:autoSpaceDN w:val="0"/>
        <w:adjustRightInd w:val="0"/>
        <w:spacing w:line="288" w:lineRule="auto"/>
        <w:outlineLvl w:val="0"/>
        <w:rPr>
          <w:rFonts w:ascii="Arial" w:eastAsia="Calibri" w:hAnsi="Arial" w:cs="Arial"/>
          <w:sz w:val="22"/>
          <w:szCs w:val="22"/>
          <w:lang w:val="es-AR" w:eastAsia="es-AR"/>
        </w:rPr>
      </w:pPr>
      <w:r>
        <w:rPr>
          <w:rFonts w:ascii="Arial" w:eastAsia="Calibri" w:hAnsi="Arial" w:cs="Arial"/>
          <w:sz w:val="22"/>
          <w:szCs w:val="22"/>
          <w:lang w:val="es-AR" w:eastAsia="es-AR"/>
        </w:rPr>
        <w:t>A</w:t>
      </w:r>
      <w:r w:rsidRPr="00493288">
        <w:rPr>
          <w:rFonts w:ascii="Arial" w:eastAsia="Calibri" w:hAnsi="Arial" w:cs="Arial"/>
          <w:sz w:val="22"/>
          <w:szCs w:val="22"/>
          <w:lang w:val="es-AR" w:eastAsia="es-AR"/>
        </w:rPr>
        <w:t xml:space="preserve"> todos los productores, asesores técnicos y personal de la región CREA Sur de Santa Fe, y a </w:t>
      </w:r>
      <w:proofErr w:type="spellStart"/>
      <w:r w:rsidRPr="00493288">
        <w:rPr>
          <w:rFonts w:ascii="Arial" w:eastAsia="Calibri" w:hAnsi="Arial" w:cs="Arial"/>
          <w:sz w:val="22"/>
          <w:szCs w:val="22"/>
          <w:lang w:val="es-AR" w:eastAsia="es-AR"/>
        </w:rPr>
        <w:t>Agroservicios</w:t>
      </w:r>
      <w:proofErr w:type="spellEnd"/>
      <w:r w:rsidRPr="00493288">
        <w:rPr>
          <w:rFonts w:ascii="Arial" w:eastAsia="Calibri" w:hAnsi="Arial" w:cs="Arial"/>
          <w:sz w:val="22"/>
          <w:szCs w:val="22"/>
          <w:lang w:val="es-AR" w:eastAsia="es-AR"/>
        </w:rPr>
        <w:t xml:space="preserve"> Pampeanos (ASP) por su apoyo continuo a la Red de Nutrición.</w:t>
      </w:r>
    </w:p>
    <w:p w:rsidR="00891636" w:rsidRDefault="00891636" w:rsidP="004F501E">
      <w:pPr>
        <w:autoSpaceDE w:val="0"/>
        <w:autoSpaceDN w:val="0"/>
        <w:adjustRightInd w:val="0"/>
        <w:spacing w:line="288" w:lineRule="auto"/>
        <w:ind w:left="1644" w:hanging="1644"/>
        <w:outlineLvl w:val="0"/>
        <w:rPr>
          <w:rFonts w:ascii="Arial" w:hAnsi="Arial" w:cs="Arial"/>
          <w:b/>
          <w:bCs/>
          <w:lang w:val="es-AR"/>
        </w:rPr>
      </w:pPr>
    </w:p>
    <w:p w:rsidR="004F501E" w:rsidRPr="0027482F" w:rsidRDefault="004F501E" w:rsidP="004F501E">
      <w:pPr>
        <w:autoSpaceDE w:val="0"/>
        <w:autoSpaceDN w:val="0"/>
        <w:adjustRightInd w:val="0"/>
        <w:spacing w:line="288" w:lineRule="auto"/>
        <w:ind w:left="1644" w:hanging="1644"/>
        <w:outlineLvl w:val="0"/>
        <w:rPr>
          <w:rFonts w:ascii="Arial" w:hAnsi="Arial" w:cs="Arial"/>
          <w:b/>
          <w:bCs/>
          <w:lang w:val="es-AR"/>
        </w:rPr>
      </w:pPr>
      <w:r w:rsidRPr="0027482F">
        <w:rPr>
          <w:rFonts w:ascii="Arial" w:hAnsi="Arial" w:cs="Arial"/>
          <w:b/>
          <w:bCs/>
          <w:lang w:val="es-AR"/>
        </w:rPr>
        <w:t>BIBLIOGRAFÍA</w:t>
      </w:r>
    </w:p>
    <w:p w:rsidR="005A68C7" w:rsidRPr="0028098A" w:rsidRDefault="005A68C7" w:rsidP="005A68C7">
      <w:pPr>
        <w:spacing w:line="24" w:lineRule="atLeast"/>
        <w:ind w:left="284" w:hanging="284"/>
        <w:jc w:val="both"/>
        <w:rPr>
          <w:rFonts w:ascii="Arial" w:hAnsi="Arial" w:cs="Arial"/>
          <w:sz w:val="18"/>
          <w:szCs w:val="18"/>
          <w:lang w:val="es-AR"/>
        </w:rPr>
      </w:pPr>
      <w:proofErr w:type="spellStart"/>
      <w:r w:rsidRPr="0028098A">
        <w:rPr>
          <w:rFonts w:ascii="Arial" w:hAnsi="Arial" w:cs="Arial"/>
          <w:sz w:val="18"/>
          <w:szCs w:val="18"/>
          <w:lang w:val="es-AR"/>
        </w:rPr>
        <w:t>Agromercado</w:t>
      </w:r>
      <w:proofErr w:type="spellEnd"/>
      <w:r w:rsidRPr="0028098A">
        <w:rPr>
          <w:rFonts w:ascii="Arial" w:hAnsi="Arial" w:cs="Arial"/>
          <w:sz w:val="18"/>
          <w:szCs w:val="18"/>
          <w:lang w:val="es-AR"/>
        </w:rPr>
        <w:t xml:space="preserve">. </w:t>
      </w:r>
      <w:r w:rsidR="00493288" w:rsidRPr="0028098A">
        <w:rPr>
          <w:rFonts w:ascii="Arial" w:hAnsi="Arial" w:cs="Arial"/>
          <w:sz w:val="18"/>
          <w:szCs w:val="18"/>
          <w:lang w:val="es-AR"/>
        </w:rPr>
        <w:t xml:space="preserve">2013. </w:t>
      </w:r>
      <w:r w:rsidRPr="0028098A">
        <w:rPr>
          <w:rFonts w:ascii="Arial" w:hAnsi="Arial" w:cs="Arial"/>
          <w:sz w:val="18"/>
          <w:szCs w:val="18"/>
          <w:lang w:val="es-AR"/>
        </w:rPr>
        <w:t xml:space="preserve">Series históricas. </w:t>
      </w:r>
      <w:hyperlink r:id="rId13" w:history="1">
        <w:r w:rsidRPr="0028098A">
          <w:rPr>
            <w:rStyle w:val="Hipervnculo"/>
            <w:rFonts w:ascii="Arial" w:hAnsi="Arial" w:cs="Arial"/>
            <w:sz w:val="18"/>
            <w:szCs w:val="18"/>
            <w:lang w:val="es-AR"/>
          </w:rPr>
          <w:t>http://www.agromercado.com.ar/?economico</w:t>
        </w:r>
      </w:hyperlink>
    </w:p>
    <w:p w:rsidR="00FF123A" w:rsidRPr="00D179B7" w:rsidRDefault="00FF123A" w:rsidP="005A68C7">
      <w:pPr>
        <w:spacing w:line="24" w:lineRule="atLeast"/>
        <w:ind w:left="284" w:hanging="284"/>
        <w:jc w:val="both"/>
        <w:rPr>
          <w:rFonts w:ascii="Arial" w:hAnsi="Arial" w:cs="Arial"/>
          <w:sz w:val="18"/>
          <w:szCs w:val="18"/>
          <w:lang w:val="es-AR"/>
        </w:rPr>
      </w:pPr>
      <w:r w:rsidRPr="00FF123A">
        <w:rPr>
          <w:rFonts w:ascii="Arial" w:hAnsi="Arial" w:cs="Arial"/>
          <w:sz w:val="18"/>
          <w:szCs w:val="18"/>
          <w:lang w:val="es-AR"/>
        </w:rPr>
        <w:t>B</w:t>
      </w:r>
      <w:r w:rsidR="00CC4D71">
        <w:rPr>
          <w:rFonts w:ascii="Arial" w:hAnsi="Arial" w:cs="Arial"/>
          <w:sz w:val="18"/>
          <w:szCs w:val="18"/>
          <w:lang w:val="es-AR"/>
        </w:rPr>
        <w:t>anco Central de la República Argentina</w:t>
      </w:r>
      <w:r w:rsidRPr="00FF123A">
        <w:rPr>
          <w:rFonts w:ascii="Arial" w:hAnsi="Arial" w:cs="Arial"/>
          <w:sz w:val="18"/>
          <w:szCs w:val="18"/>
          <w:lang w:val="es-AR"/>
        </w:rPr>
        <w:t xml:space="preserve">. 2014. Estadísticas monetarias y financieras. </w:t>
      </w:r>
      <w:hyperlink r:id="rId14" w:history="1">
        <w:r w:rsidRPr="00D179B7">
          <w:rPr>
            <w:rStyle w:val="Hipervnculo"/>
            <w:rFonts w:ascii="Arial" w:hAnsi="Arial" w:cs="Arial"/>
            <w:sz w:val="18"/>
            <w:szCs w:val="18"/>
            <w:lang w:val="es-AR"/>
          </w:rPr>
          <w:t>http://www.bcra.gov.ar/index.asp</w:t>
        </w:r>
      </w:hyperlink>
    </w:p>
    <w:p w:rsidR="009F314E" w:rsidRDefault="00B35F6F" w:rsidP="005A68C7">
      <w:pPr>
        <w:spacing w:line="24" w:lineRule="atLeast"/>
        <w:ind w:left="284" w:hanging="284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FF123A">
        <w:rPr>
          <w:rFonts w:ascii="Arial" w:hAnsi="Arial" w:cs="Arial"/>
          <w:sz w:val="18"/>
          <w:szCs w:val="18"/>
          <w:lang w:val="en-US"/>
        </w:rPr>
        <w:t>Bruulsema</w:t>
      </w:r>
      <w:proofErr w:type="spellEnd"/>
      <w:r w:rsidRPr="00FF123A">
        <w:rPr>
          <w:rFonts w:ascii="Arial" w:hAnsi="Arial" w:cs="Arial"/>
          <w:sz w:val="18"/>
          <w:szCs w:val="18"/>
          <w:lang w:val="en-US"/>
        </w:rPr>
        <w:t>, T</w:t>
      </w:r>
      <w:r w:rsidR="004B46D8" w:rsidRPr="00FF123A">
        <w:rPr>
          <w:rFonts w:ascii="Arial" w:hAnsi="Arial" w:cs="Arial"/>
          <w:sz w:val="18"/>
          <w:szCs w:val="18"/>
          <w:lang w:val="en-US"/>
        </w:rPr>
        <w:t>W</w:t>
      </w:r>
      <w:r w:rsidRPr="00FF123A">
        <w:rPr>
          <w:rFonts w:ascii="Arial" w:hAnsi="Arial" w:cs="Arial"/>
          <w:sz w:val="18"/>
          <w:szCs w:val="18"/>
          <w:lang w:val="en-US"/>
        </w:rPr>
        <w:t>; C Witt; F</w:t>
      </w:r>
      <w:r w:rsidR="00094E82" w:rsidRPr="00FF123A">
        <w:rPr>
          <w:rFonts w:ascii="Arial" w:hAnsi="Arial" w:cs="Arial"/>
          <w:sz w:val="18"/>
          <w:szCs w:val="18"/>
          <w:lang w:val="en-US"/>
        </w:rPr>
        <w:t>O</w:t>
      </w:r>
      <w:r w:rsidRPr="00FF123A">
        <w:rPr>
          <w:rFonts w:ascii="Arial" w:hAnsi="Arial" w:cs="Arial"/>
          <w:sz w:val="18"/>
          <w:szCs w:val="18"/>
          <w:lang w:val="en-US"/>
        </w:rPr>
        <w:t xml:space="preserve"> Garcia</w:t>
      </w:r>
      <w:r w:rsidR="00094E82" w:rsidRPr="00FF123A">
        <w:rPr>
          <w:rFonts w:ascii="Arial" w:hAnsi="Arial" w:cs="Arial"/>
          <w:sz w:val="18"/>
          <w:szCs w:val="18"/>
          <w:lang w:val="en-US"/>
        </w:rPr>
        <w:t>;</w:t>
      </w:r>
      <w:r w:rsidRPr="00FF123A">
        <w:rPr>
          <w:rFonts w:ascii="Arial" w:hAnsi="Arial" w:cs="Arial"/>
          <w:sz w:val="18"/>
          <w:szCs w:val="18"/>
          <w:lang w:val="en-US"/>
        </w:rPr>
        <w:t xml:space="preserve"> S Li</w:t>
      </w:r>
      <w:r w:rsidR="00094E82" w:rsidRPr="00FF123A">
        <w:rPr>
          <w:rFonts w:ascii="Arial" w:hAnsi="Arial" w:cs="Arial"/>
          <w:sz w:val="18"/>
          <w:szCs w:val="18"/>
          <w:lang w:val="en-US"/>
        </w:rPr>
        <w:t>;</w:t>
      </w:r>
      <w:r w:rsidRPr="00FF123A">
        <w:rPr>
          <w:rFonts w:ascii="Arial" w:hAnsi="Arial" w:cs="Arial"/>
          <w:sz w:val="18"/>
          <w:szCs w:val="18"/>
          <w:lang w:val="en-US"/>
        </w:rPr>
        <w:t xml:space="preserve"> TN Rao</w:t>
      </w:r>
      <w:r w:rsidR="00094E82" w:rsidRPr="00FF123A">
        <w:rPr>
          <w:rFonts w:ascii="Arial" w:hAnsi="Arial" w:cs="Arial"/>
          <w:sz w:val="18"/>
          <w:szCs w:val="18"/>
          <w:lang w:val="en-US"/>
        </w:rPr>
        <w:t>;</w:t>
      </w:r>
      <w:r w:rsidRPr="00FF123A">
        <w:rPr>
          <w:rFonts w:ascii="Arial" w:hAnsi="Arial" w:cs="Arial"/>
          <w:sz w:val="18"/>
          <w:szCs w:val="18"/>
          <w:lang w:val="en-US"/>
        </w:rPr>
        <w:t xml:space="preserve"> F Chen</w:t>
      </w:r>
      <w:r w:rsidR="00094E82" w:rsidRPr="00FF123A">
        <w:rPr>
          <w:rFonts w:ascii="Arial" w:hAnsi="Arial" w:cs="Arial"/>
          <w:sz w:val="18"/>
          <w:szCs w:val="18"/>
          <w:lang w:val="en-US"/>
        </w:rPr>
        <w:t>;</w:t>
      </w:r>
      <w:r w:rsidRPr="00FF123A">
        <w:rPr>
          <w:rFonts w:ascii="Arial" w:hAnsi="Arial" w:cs="Arial"/>
          <w:sz w:val="18"/>
          <w:szCs w:val="18"/>
          <w:lang w:val="en-US"/>
        </w:rPr>
        <w:t xml:space="preserve"> y S </w:t>
      </w:r>
      <w:proofErr w:type="spellStart"/>
      <w:r w:rsidRPr="00FF123A">
        <w:rPr>
          <w:rFonts w:ascii="Arial" w:hAnsi="Arial" w:cs="Arial"/>
          <w:sz w:val="18"/>
          <w:szCs w:val="18"/>
          <w:lang w:val="en-US"/>
        </w:rPr>
        <w:t>Ivanova</w:t>
      </w:r>
      <w:proofErr w:type="spellEnd"/>
      <w:r w:rsidRPr="00FF123A">
        <w:rPr>
          <w:rFonts w:ascii="Arial" w:hAnsi="Arial" w:cs="Arial"/>
          <w:sz w:val="18"/>
          <w:szCs w:val="18"/>
          <w:lang w:val="en-US"/>
        </w:rPr>
        <w:t xml:space="preserve">. 2008. A Global Framework </w:t>
      </w:r>
      <w:r w:rsidRPr="00B35F6F">
        <w:rPr>
          <w:rFonts w:ascii="Arial" w:hAnsi="Arial" w:cs="Arial"/>
          <w:sz w:val="18"/>
          <w:szCs w:val="18"/>
          <w:lang w:val="en-US"/>
        </w:rPr>
        <w:t xml:space="preserve">for Fertilizer BMPs. Better Crops 92 (2): 13-15. </w:t>
      </w:r>
      <w:proofErr w:type="gramStart"/>
      <w:r w:rsidRPr="00B35F6F">
        <w:rPr>
          <w:rFonts w:ascii="Arial" w:hAnsi="Arial" w:cs="Arial"/>
          <w:sz w:val="18"/>
          <w:szCs w:val="18"/>
          <w:lang w:val="en-US"/>
        </w:rPr>
        <w:t>IPNI.</w:t>
      </w:r>
      <w:proofErr w:type="gramEnd"/>
      <w:r w:rsidRPr="00B35F6F">
        <w:rPr>
          <w:rFonts w:ascii="Arial" w:hAnsi="Arial" w:cs="Arial"/>
          <w:sz w:val="18"/>
          <w:szCs w:val="18"/>
          <w:lang w:val="en-US"/>
        </w:rPr>
        <w:t xml:space="preserve"> Norcross, EE.UU.</w:t>
      </w:r>
    </w:p>
    <w:p w:rsidR="007D332F" w:rsidRPr="007D332F" w:rsidRDefault="007D332F" w:rsidP="005A68C7">
      <w:pPr>
        <w:spacing w:line="24" w:lineRule="atLeast"/>
        <w:ind w:left="284" w:hanging="284"/>
        <w:jc w:val="both"/>
        <w:rPr>
          <w:rFonts w:ascii="Arial" w:hAnsi="Arial" w:cs="Arial"/>
          <w:sz w:val="18"/>
          <w:szCs w:val="18"/>
          <w:lang w:val="es-AR"/>
        </w:rPr>
      </w:pPr>
      <w:proofErr w:type="spellStart"/>
      <w:r w:rsidRPr="009257A8">
        <w:rPr>
          <w:rFonts w:ascii="Arial" w:hAnsi="Arial" w:cs="Arial"/>
          <w:sz w:val="18"/>
          <w:szCs w:val="18"/>
          <w:lang w:val="es-AR"/>
        </w:rPr>
        <w:t>Ciampitti</w:t>
      </w:r>
      <w:proofErr w:type="spellEnd"/>
      <w:r w:rsidRPr="009257A8">
        <w:rPr>
          <w:rFonts w:ascii="Arial" w:hAnsi="Arial" w:cs="Arial"/>
          <w:sz w:val="18"/>
          <w:szCs w:val="18"/>
          <w:lang w:val="es-AR"/>
        </w:rPr>
        <w:t xml:space="preserve"> IA; FO García; LI </w:t>
      </w:r>
      <w:proofErr w:type="spellStart"/>
      <w:r w:rsidRPr="009257A8">
        <w:rPr>
          <w:rFonts w:ascii="Arial" w:hAnsi="Arial" w:cs="Arial"/>
          <w:sz w:val="18"/>
          <w:szCs w:val="18"/>
          <w:lang w:val="es-AR"/>
        </w:rPr>
        <w:t>Pic</w:t>
      </w:r>
      <w:r>
        <w:rPr>
          <w:rFonts w:ascii="Arial" w:hAnsi="Arial" w:cs="Arial"/>
          <w:sz w:val="18"/>
          <w:szCs w:val="18"/>
          <w:lang w:val="es-AR"/>
        </w:rPr>
        <w:t>one</w:t>
      </w:r>
      <w:proofErr w:type="spellEnd"/>
      <w:r w:rsidRPr="007D332F">
        <w:rPr>
          <w:rFonts w:ascii="Arial" w:hAnsi="Arial" w:cs="Arial"/>
          <w:sz w:val="18"/>
          <w:szCs w:val="18"/>
          <w:lang w:val="es-AR"/>
        </w:rPr>
        <w:t xml:space="preserve">; y </w:t>
      </w:r>
      <w:r>
        <w:rPr>
          <w:rFonts w:ascii="Arial" w:hAnsi="Arial" w:cs="Arial"/>
          <w:sz w:val="18"/>
          <w:szCs w:val="18"/>
          <w:lang w:val="es-AR"/>
        </w:rPr>
        <w:t>G</w:t>
      </w:r>
      <w:r w:rsidRPr="007D332F">
        <w:rPr>
          <w:rFonts w:ascii="Arial" w:hAnsi="Arial" w:cs="Arial"/>
          <w:sz w:val="18"/>
          <w:szCs w:val="18"/>
          <w:lang w:val="es-AR"/>
        </w:rPr>
        <w:t xml:space="preserve"> </w:t>
      </w:r>
      <w:r>
        <w:rPr>
          <w:rFonts w:ascii="Arial" w:hAnsi="Arial" w:cs="Arial"/>
          <w:sz w:val="18"/>
          <w:szCs w:val="18"/>
          <w:lang w:val="es-AR"/>
        </w:rPr>
        <w:t>Rubio</w:t>
      </w:r>
      <w:r w:rsidRPr="007D332F">
        <w:rPr>
          <w:rFonts w:ascii="Arial" w:hAnsi="Arial" w:cs="Arial"/>
          <w:sz w:val="18"/>
          <w:szCs w:val="18"/>
          <w:lang w:val="es-AR"/>
        </w:rPr>
        <w:t xml:space="preserve">. </w:t>
      </w:r>
      <w:r w:rsidRPr="00D179B7">
        <w:rPr>
          <w:rFonts w:ascii="Arial" w:hAnsi="Arial" w:cs="Arial"/>
          <w:sz w:val="18"/>
          <w:szCs w:val="18"/>
          <w:lang w:val="en-US"/>
        </w:rPr>
        <w:t xml:space="preserve">2011. </w:t>
      </w:r>
      <w:r w:rsidRPr="007D332F">
        <w:rPr>
          <w:rFonts w:ascii="Arial" w:hAnsi="Arial" w:cs="Arial"/>
          <w:sz w:val="18"/>
          <w:szCs w:val="18"/>
          <w:lang w:val="en-US"/>
        </w:rPr>
        <w:t xml:space="preserve">Phosphorus: balance and soil extractable dynamics in field crops rotations in </w:t>
      </w:r>
      <w:proofErr w:type="spellStart"/>
      <w:r w:rsidRPr="007D332F">
        <w:rPr>
          <w:rFonts w:ascii="Arial" w:hAnsi="Arial" w:cs="Arial"/>
          <w:sz w:val="18"/>
          <w:szCs w:val="18"/>
          <w:lang w:val="en-US"/>
        </w:rPr>
        <w:t>Pampean</w:t>
      </w:r>
      <w:proofErr w:type="spellEnd"/>
      <w:r w:rsidRPr="007D332F">
        <w:rPr>
          <w:rFonts w:ascii="Arial" w:hAnsi="Arial" w:cs="Arial"/>
          <w:sz w:val="18"/>
          <w:szCs w:val="18"/>
          <w:lang w:val="en-US"/>
        </w:rPr>
        <w:t xml:space="preserve"> soils. </w:t>
      </w:r>
      <w:proofErr w:type="spellStart"/>
      <w:r w:rsidRPr="007D332F">
        <w:rPr>
          <w:rFonts w:ascii="Arial" w:hAnsi="Arial" w:cs="Arial"/>
          <w:sz w:val="18"/>
          <w:szCs w:val="18"/>
          <w:lang w:val="es-AR"/>
        </w:rPr>
        <w:t>Soil</w:t>
      </w:r>
      <w:proofErr w:type="spellEnd"/>
      <w:r w:rsidRPr="007D332F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7D332F">
        <w:rPr>
          <w:rFonts w:ascii="Arial" w:hAnsi="Arial" w:cs="Arial"/>
          <w:sz w:val="18"/>
          <w:szCs w:val="18"/>
          <w:lang w:val="es-AR"/>
        </w:rPr>
        <w:t>Sci</w:t>
      </w:r>
      <w:proofErr w:type="spellEnd"/>
      <w:r w:rsidRPr="007D332F">
        <w:rPr>
          <w:rFonts w:ascii="Arial" w:hAnsi="Arial" w:cs="Arial"/>
          <w:sz w:val="18"/>
          <w:szCs w:val="18"/>
          <w:lang w:val="es-AR"/>
        </w:rPr>
        <w:t>. Soc. Am. J. 75:131-142.</w:t>
      </w:r>
    </w:p>
    <w:p w:rsidR="00D278E9" w:rsidRPr="0028098A" w:rsidRDefault="009F314E" w:rsidP="005A68C7">
      <w:pPr>
        <w:spacing w:line="24" w:lineRule="atLeast"/>
        <w:ind w:left="284" w:hanging="284"/>
        <w:jc w:val="both"/>
        <w:rPr>
          <w:rFonts w:ascii="Arial" w:hAnsi="Arial" w:cs="Arial"/>
          <w:sz w:val="18"/>
          <w:szCs w:val="18"/>
          <w:lang w:val="es-AR"/>
        </w:rPr>
      </w:pPr>
      <w:r w:rsidRPr="009F314E">
        <w:rPr>
          <w:rFonts w:ascii="Arial" w:hAnsi="Arial" w:cs="Arial"/>
          <w:sz w:val="18"/>
          <w:szCs w:val="18"/>
          <w:lang w:val="es-AR"/>
        </w:rPr>
        <w:t xml:space="preserve">Di </w:t>
      </w:r>
      <w:proofErr w:type="spellStart"/>
      <w:r w:rsidRPr="009F314E">
        <w:rPr>
          <w:rFonts w:ascii="Arial" w:hAnsi="Arial" w:cs="Arial"/>
          <w:sz w:val="18"/>
          <w:szCs w:val="18"/>
          <w:lang w:val="es-AR"/>
        </w:rPr>
        <w:t>Rienzo</w:t>
      </w:r>
      <w:proofErr w:type="spellEnd"/>
      <w:r w:rsidRPr="009F314E">
        <w:rPr>
          <w:rFonts w:ascii="Arial" w:hAnsi="Arial" w:cs="Arial"/>
          <w:sz w:val="18"/>
          <w:szCs w:val="18"/>
          <w:lang w:val="es-AR"/>
        </w:rPr>
        <w:t xml:space="preserve"> J.A., </w:t>
      </w:r>
      <w:proofErr w:type="spellStart"/>
      <w:r w:rsidRPr="009F314E">
        <w:rPr>
          <w:rFonts w:ascii="Arial" w:hAnsi="Arial" w:cs="Arial"/>
          <w:sz w:val="18"/>
          <w:szCs w:val="18"/>
          <w:lang w:val="es-AR"/>
        </w:rPr>
        <w:t>Casanoves</w:t>
      </w:r>
      <w:proofErr w:type="spellEnd"/>
      <w:r w:rsidRPr="009F314E">
        <w:rPr>
          <w:rFonts w:ascii="Arial" w:hAnsi="Arial" w:cs="Arial"/>
          <w:sz w:val="18"/>
          <w:szCs w:val="18"/>
          <w:lang w:val="es-AR"/>
        </w:rPr>
        <w:t xml:space="preserve"> F., </w:t>
      </w:r>
      <w:proofErr w:type="spellStart"/>
      <w:r w:rsidRPr="009F314E">
        <w:rPr>
          <w:rFonts w:ascii="Arial" w:hAnsi="Arial" w:cs="Arial"/>
          <w:sz w:val="18"/>
          <w:szCs w:val="18"/>
          <w:lang w:val="es-AR"/>
        </w:rPr>
        <w:t>Balzarini</w:t>
      </w:r>
      <w:proofErr w:type="spellEnd"/>
      <w:r w:rsidRPr="009F314E">
        <w:rPr>
          <w:rFonts w:ascii="Arial" w:hAnsi="Arial" w:cs="Arial"/>
          <w:sz w:val="18"/>
          <w:szCs w:val="18"/>
          <w:lang w:val="es-AR"/>
        </w:rPr>
        <w:t xml:space="preserve"> M.G., </w:t>
      </w:r>
      <w:proofErr w:type="spellStart"/>
      <w:r w:rsidRPr="009F314E">
        <w:rPr>
          <w:rFonts w:ascii="Arial" w:hAnsi="Arial" w:cs="Arial"/>
          <w:sz w:val="18"/>
          <w:szCs w:val="18"/>
          <w:lang w:val="es-AR"/>
        </w:rPr>
        <w:t>Gonzalez</w:t>
      </w:r>
      <w:proofErr w:type="spellEnd"/>
      <w:r w:rsidRPr="009F314E">
        <w:rPr>
          <w:rFonts w:ascii="Arial" w:hAnsi="Arial" w:cs="Arial"/>
          <w:sz w:val="18"/>
          <w:szCs w:val="18"/>
          <w:lang w:val="es-AR"/>
        </w:rPr>
        <w:t xml:space="preserve"> L., Tablada M., Robledo C.W. </w:t>
      </w:r>
      <w:proofErr w:type="spellStart"/>
      <w:r w:rsidRPr="009F314E">
        <w:rPr>
          <w:rFonts w:ascii="Arial" w:hAnsi="Arial" w:cs="Arial"/>
          <w:sz w:val="18"/>
          <w:szCs w:val="18"/>
          <w:lang w:val="es-AR"/>
        </w:rPr>
        <w:t>InfoStat</w:t>
      </w:r>
      <w:proofErr w:type="spellEnd"/>
      <w:r w:rsidRPr="009F314E">
        <w:rPr>
          <w:rFonts w:ascii="Arial" w:hAnsi="Arial" w:cs="Arial"/>
          <w:sz w:val="18"/>
          <w:szCs w:val="18"/>
          <w:lang w:val="es-AR"/>
        </w:rPr>
        <w:t xml:space="preserve"> versión 2013. Grupo </w:t>
      </w:r>
      <w:proofErr w:type="spellStart"/>
      <w:r w:rsidRPr="009F314E">
        <w:rPr>
          <w:rFonts w:ascii="Arial" w:hAnsi="Arial" w:cs="Arial"/>
          <w:sz w:val="18"/>
          <w:szCs w:val="18"/>
          <w:lang w:val="es-AR"/>
        </w:rPr>
        <w:t>InfoStat</w:t>
      </w:r>
      <w:proofErr w:type="spellEnd"/>
      <w:r w:rsidRPr="009F314E">
        <w:rPr>
          <w:rFonts w:ascii="Arial" w:hAnsi="Arial" w:cs="Arial"/>
          <w:sz w:val="18"/>
          <w:szCs w:val="18"/>
          <w:lang w:val="es-AR"/>
        </w:rPr>
        <w:t>, FCA, Universidad Nacional de Córdoba, Argentina.</w:t>
      </w:r>
    </w:p>
    <w:p w:rsidR="005A68C7" w:rsidRPr="0028098A" w:rsidRDefault="005A68C7" w:rsidP="005A68C7">
      <w:pPr>
        <w:spacing w:line="24" w:lineRule="atLeast"/>
        <w:ind w:left="284" w:hanging="284"/>
        <w:jc w:val="both"/>
        <w:rPr>
          <w:rFonts w:ascii="Arial" w:hAnsi="Arial" w:cs="Arial"/>
          <w:sz w:val="18"/>
          <w:szCs w:val="18"/>
          <w:lang w:val="es-AR"/>
        </w:rPr>
      </w:pPr>
      <w:r w:rsidRPr="0028098A">
        <w:rPr>
          <w:rFonts w:ascii="Arial" w:hAnsi="Arial" w:cs="Arial"/>
          <w:sz w:val="18"/>
          <w:szCs w:val="18"/>
          <w:lang w:val="es-AR"/>
        </w:rPr>
        <w:t xml:space="preserve">García, FO; M </w:t>
      </w:r>
      <w:proofErr w:type="spellStart"/>
      <w:r w:rsidRPr="0028098A">
        <w:rPr>
          <w:rFonts w:ascii="Arial" w:hAnsi="Arial" w:cs="Arial"/>
          <w:sz w:val="18"/>
          <w:szCs w:val="18"/>
          <w:lang w:val="es-AR"/>
        </w:rPr>
        <w:t>Boxler</w:t>
      </w:r>
      <w:proofErr w:type="spellEnd"/>
      <w:r w:rsidRPr="0028098A">
        <w:rPr>
          <w:rFonts w:ascii="Arial" w:hAnsi="Arial" w:cs="Arial"/>
          <w:sz w:val="18"/>
          <w:szCs w:val="18"/>
          <w:lang w:val="es-AR"/>
        </w:rPr>
        <w:t xml:space="preserve">; J </w:t>
      </w:r>
      <w:proofErr w:type="spellStart"/>
      <w:r w:rsidRPr="0028098A">
        <w:rPr>
          <w:rFonts w:ascii="Arial" w:hAnsi="Arial" w:cs="Arial"/>
          <w:sz w:val="18"/>
          <w:szCs w:val="18"/>
          <w:lang w:val="es-AR"/>
        </w:rPr>
        <w:t>Minteguiaga</w:t>
      </w:r>
      <w:proofErr w:type="spellEnd"/>
      <w:r w:rsidRPr="0028098A">
        <w:rPr>
          <w:rFonts w:ascii="Arial" w:hAnsi="Arial" w:cs="Arial"/>
          <w:sz w:val="18"/>
          <w:szCs w:val="18"/>
          <w:lang w:val="es-AR"/>
        </w:rPr>
        <w:t xml:space="preserve">; R Pozzi; L Firpo; I </w:t>
      </w:r>
      <w:proofErr w:type="spellStart"/>
      <w:r w:rsidRPr="0028098A">
        <w:rPr>
          <w:rFonts w:ascii="Arial" w:hAnsi="Arial" w:cs="Arial"/>
          <w:sz w:val="18"/>
          <w:szCs w:val="18"/>
          <w:lang w:val="es-AR"/>
        </w:rPr>
        <w:t>Ciampitti</w:t>
      </w:r>
      <w:proofErr w:type="spellEnd"/>
      <w:r w:rsidRPr="0028098A">
        <w:rPr>
          <w:rFonts w:ascii="Arial" w:hAnsi="Arial" w:cs="Arial"/>
          <w:sz w:val="18"/>
          <w:szCs w:val="18"/>
          <w:lang w:val="es-AR"/>
        </w:rPr>
        <w:t xml:space="preserve">; A </w:t>
      </w:r>
      <w:proofErr w:type="spellStart"/>
      <w:r w:rsidRPr="0028098A">
        <w:rPr>
          <w:rFonts w:ascii="Arial" w:hAnsi="Arial" w:cs="Arial"/>
          <w:sz w:val="18"/>
          <w:szCs w:val="18"/>
          <w:lang w:val="es-AR"/>
        </w:rPr>
        <w:t>Correndo</w:t>
      </w:r>
      <w:proofErr w:type="spellEnd"/>
      <w:r w:rsidRPr="0028098A">
        <w:rPr>
          <w:rFonts w:ascii="Arial" w:hAnsi="Arial" w:cs="Arial"/>
          <w:sz w:val="18"/>
          <w:szCs w:val="18"/>
          <w:lang w:val="es-AR"/>
        </w:rPr>
        <w:t xml:space="preserve">; F </w:t>
      </w:r>
      <w:proofErr w:type="spellStart"/>
      <w:r w:rsidRPr="0028098A">
        <w:rPr>
          <w:rFonts w:ascii="Arial" w:hAnsi="Arial" w:cs="Arial"/>
          <w:sz w:val="18"/>
          <w:szCs w:val="18"/>
          <w:lang w:val="es-AR"/>
        </w:rPr>
        <w:t>Bauschen</w:t>
      </w:r>
      <w:proofErr w:type="spellEnd"/>
      <w:r w:rsidRPr="0028098A">
        <w:rPr>
          <w:rFonts w:ascii="Arial" w:hAnsi="Arial" w:cs="Arial"/>
          <w:sz w:val="18"/>
          <w:szCs w:val="18"/>
          <w:lang w:val="es-AR"/>
        </w:rPr>
        <w:t xml:space="preserve">; A </w:t>
      </w:r>
      <w:proofErr w:type="spellStart"/>
      <w:r w:rsidRPr="0028098A">
        <w:rPr>
          <w:rFonts w:ascii="Arial" w:hAnsi="Arial" w:cs="Arial"/>
          <w:sz w:val="18"/>
          <w:szCs w:val="18"/>
          <w:lang w:val="es-AR"/>
        </w:rPr>
        <w:t>Berardo</w:t>
      </w:r>
      <w:proofErr w:type="spellEnd"/>
      <w:r w:rsidRPr="0028098A">
        <w:rPr>
          <w:rFonts w:ascii="Arial" w:hAnsi="Arial" w:cs="Arial"/>
          <w:sz w:val="18"/>
          <w:szCs w:val="18"/>
          <w:lang w:val="es-AR"/>
        </w:rPr>
        <w:t xml:space="preserve"> y N </w:t>
      </w:r>
      <w:proofErr w:type="spellStart"/>
      <w:r w:rsidRPr="0028098A">
        <w:rPr>
          <w:rFonts w:ascii="Arial" w:hAnsi="Arial" w:cs="Arial"/>
          <w:sz w:val="18"/>
          <w:szCs w:val="18"/>
          <w:lang w:val="es-AR"/>
        </w:rPr>
        <w:t>Reussi</w:t>
      </w:r>
      <w:proofErr w:type="spellEnd"/>
      <w:r w:rsidRPr="0028098A">
        <w:rPr>
          <w:rFonts w:ascii="Arial" w:hAnsi="Arial" w:cs="Arial"/>
          <w:sz w:val="18"/>
          <w:szCs w:val="18"/>
          <w:lang w:val="es-AR"/>
        </w:rPr>
        <w:t xml:space="preserve"> Calvo. 2010. La Red de Nutrición de la Región CREA Sur de Santa Fe. 2a Ed. Buenos Aires, AACREA. 2010. 64 pp.</w:t>
      </w:r>
    </w:p>
    <w:p w:rsidR="005A68C7" w:rsidRPr="00D179B7" w:rsidRDefault="005A68C7" w:rsidP="005A68C7">
      <w:pPr>
        <w:spacing w:line="24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gramStart"/>
      <w:r w:rsidRPr="0028098A">
        <w:rPr>
          <w:rFonts w:ascii="Arial" w:hAnsi="Arial" w:cs="Arial"/>
          <w:sz w:val="18"/>
          <w:szCs w:val="18"/>
          <w:lang w:val="en-US"/>
        </w:rPr>
        <w:t>IMF.</w:t>
      </w:r>
      <w:proofErr w:type="gramEnd"/>
      <w:r w:rsidRPr="0028098A">
        <w:rPr>
          <w:rFonts w:ascii="Arial" w:hAnsi="Arial" w:cs="Arial"/>
          <w:sz w:val="18"/>
          <w:szCs w:val="18"/>
          <w:lang w:val="en-US"/>
        </w:rPr>
        <w:t xml:space="preserve"> 2014. International Monetary Found. </w:t>
      </w:r>
      <w:proofErr w:type="gramStart"/>
      <w:r w:rsidRPr="0028098A">
        <w:rPr>
          <w:rFonts w:ascii="Arial" w:hAnsi="Arial" w:cs="Arial"/>
          <w:sz w:val="18"/>
          <w:szCs w:val="18"/>
          <w:lang w:val="en-US"/>
        </w:rPr>
        <w:t>United States and the IMF.</w:t>
      </w:r>
      <w:proofErr w:type="gramEnd"/>
      <w:r w:rsidRPr="0028098A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15" w:history="1">
        <w:r w:rsidRPr="00D179B7">
          <w:rPr>
            <w:rStyle w:val="Hipervnculo"/>
            <w:rFonts w:ascii="Arial" w:hAnsi="Arial" w:cs="Arial"/>
            <w:sz w:val="18"/>
            <w:szCs w:val="18"/>
          </w:rPr>
          <w:t>http://www.imf.org/external/country/USA/index.htm</w:t>
        </w:r>
      </w:hyperlink>
    </w:p>
    <w:p w:rsidR="005A68C7" w:rsidRPr="0028098A" w:rsidRDefault="005A68C7" w:rsidP="005A68C7">
      <w:pPr>
        <w:spacing w:line="24" w:lineRule="atLeast"/>
        <w:ind w:left="284" w:hanging="284"/>
        <w:jc w:val="both"/>
        <w:rPr>
          <w:rFonts w:ascii="Arial" w:hAnsi="Arial" w:cs="Arial"/>
          <w:sz w:val="18"/>
          <w:szCs w:val="18"/>
          <w:lang w:val="es-AR"/>
        </w:rPr>
      </w:pPr>
      <w:r w:rsidRPr="00D179B7">
        <w:rPr>
          <w:rFonts w:ascii="Arial" w:hAnsi="Arial" w:cs="Arial"/>
          <w:sz w:val="18"/>
          <w:szCs w:val="18"/>
        </w:rPr>
        <w:t xml:space="preserve">INDEC. 2014. </w:t>
      </w:r>
      <w:r w:rsidR="00E20A30" w:rsidRPr="0028098A">
        <w:rPr>
          <w:rFonts w:ascii="Arial" w:hAnsi="Arial" w:cs="Arial"/>
          <w:sz w:val="18"/>
          <w:szCs w:val="18"/>
          <w:lang w:val="es-AR"/>
        </w:rPr>
        <w:t>Índices</w:t>
      </w:r>
      <w:r w:rsidRPr="0028098A">
        <w:rPr>
          <w:rFonts w:ascii="Arial" w:hAnsi="Arial" w:cs="Arial"/>
          <w:sz w:val="18"/>
          <w:szCs w:val="18"/>
          <w:lang w:val="es-AR"/>
        </w:rPr>
        <w:t xml:space="preserve"> de precios. </w:t>
      </w:r>
      <w:hyperlink r:id="rId16" w:history="1">
        <w:r w:rsidRPr="0028098A">
          <w:rPr>
            <w:rStyle w:val="Hipervnculo"/>
            <w:rFonts w:ascii="Arial" w:hAnsi="Arial" w:cs="Arial"/>
            <w:sz w:val="18"/>
            <w:szCs w:val="18"/>
            <w:lang w:val="es-AR"/>
          </w:rPr>
          <w:t>http://www.indec.mecon.ar/principal.asp?id_tema=10</w:t>
        </w:r>
      </w:hyperlink>
    </w:p>
    <w:p w:rsidR="00E20A30" w:rsidRPr="0028098A" w:rsidRDefault="00E20A30" w:rsidP="005A68C7">
      <w:pPr>
        <w:spacing w:line="24" w:lineRule="atLeast"/>
        <w:ind w:left="284" w:hanging="284"/>
        <w:jc w:val="both"/>
        <w:rPr>
          <w:rFonts w:ascii="Arial" w:hAnsi="Arial" w:cs="Arial"/>
          <w:sz w:val="18"/>
          <w:szCs w:val="18"/>
          <w:lang w:val="es-AR"/>
        </w:rPr>
      </w:pPr>
      <w:r w:rsidRPr="0028098A">
        <w:rPr>
          <w:rFonts w:ascii="Arial" w:hAnsi="Arial" w:cs="Arial"/>
          <w:sz w:val="18"/>
          <w:szCs w:val="18"/>
          <w:lang w:val="es-AR"/>
        </w:rPr>
        <w:t xml:space="preserve">IPNI. 2013. 4R de la Nutrición de Plantas: Un Manual para Mejorar el Manejo de la Nutrición de Plantas. </w:t>
      </w:r>
      <w:proofErr w:type="spellStart"/>
      <w:r w:rsidR="00FC0D3C">
        <w:rPr>
          <w:rFonts w:ascii="Arial" w:hAnsi="Arial" w:cs="Arial"/>
          <w:sz w:val="18"/>
          <w:szCs w:val="18"/>
          <w:lang w:val="es-AR"/>
        </w:rPr>
        <w:t>Bruulsema</w:t>
      </w:r>
      <w:proofErr w:type="spellEnd"/>
      <w:r w:rsidR="00FC0D3C">
        <w:rPr>
          <w:rFonts w:ascii="Arial" w:hAnsi="Arial" w:cs="Arial"/>
          <w:sz w:val="18"/>
          <w:szCs w:val="18"/>
          <w:lang w:val="es-AR"/>
        </w:rPr>
        <w:t xml:space="preserve"> TW; P </w:t>
      </w:r>
      <w:proofErr w:type="spellStart"/>
      <w:r w:rsidRPr="0028098A">
        <w:rPr>
          <w:rFonts w:ascii="Arial" w:hAnsi="Arial" w:cs="Arial"/>
          <w:sz w:val="18"/>
          <w:szCs w:val="18"/>
          <w:lang w:val="es-AR"/>
        </w:rPr>
        <w:t>Fixen</w:t>
      </w:r>
      <w:proofErr w:type="spellEnd"/>
      <w:r w:rsidRPr="0028098A">
        <w:rPr>
          <w:rFonts w:ascii="Arial" w:hAnsi="Arial" w:cs="Arial"/>
          <w:sz w:val="18"/>
          <w:szCs w:val="18"/>
          <w:lang w:val="es-AR"/>
        </w:rPr>
        <w:t>;</w:t>
      </w:r>
      <w:r w:rsidR="00FC0D3C">
        <w:rPr>
          <w:rFonts w:ascii="Arial" w:hAnsi="Arial" w:cs="Arial"/>
          <w:sz w:val="18"/>
          <w:szCs w:val="18"/>
          <w:lang w:val="es-AR"/>
        </w:rPr>
        <w:t xml:space="preserve"> y</w:t>
      </w:r>
      <w:r w:rsidRPr="0028098A">
        <w:rPr>
          <w:rFonts w:ascii="Arial" w:hAnsi="Arial" w:cs="Arial"/>
          <w:sz w:val="18"/>
          <w:szCs w:val="18"/>
          <w:lang w:val="es-AR"/>
        </w:rPr>
        <w:t xml:space="preserve"> G </w:t>
      </w:r>
      <w:proofErr w:type="spellStart"/>
      <w:r w:rsidRPr="0028098A">
        <w:rPr>
          <w:rFonts w:ascii="Arial" w:hAnsi="Arial" w:cs="Arial"/>
          <w:sz w:val="18"/>
          <w:szCs w:val="18"/>
          <w:lang w:val="es-AR"/>
        </w:rPr>
        <w:t>Sulewski</w:t>
      </w:r>
      <w:proofErr w:type="spellEnd"/>
      <w:r w:rsidRPr="0028098A">
        <w:rPr>
          <w:rFonts w:ascii="Arial" w:hAnsi="Arial" w:cs="Arial"/>
          <w:sz w:val="18"/>
          <w:szCs w:val="18"/>
          <w:lang w:val="es-AR"/>
        </w:rPr>
        <w:t xml:space="preserve"> (Eds.).</w:t>
      </w:r>
      <w:r w:rsidR="00FC0D3C">
        <w:rPr>
          <w:rFonts w:ascii="Arial" w:hAnsi="Arial" w:cs="Arial"/>
          <w:sz w:val="18"/>
          <w:szCs w:val="18"/>
          <w:lang w:val="es-AR"/>
        </w:rPr>
        <w:t xml:space="preserve"> 1ra Ed. Acassuso. International </w:t>
      </w:r>
      <w:proofErr w:type="spellStart"/>
      <w:r w:rsidR="00FC0D3C">
        <w:rPr>
          <w:rFonts w:ascii="Arial" w:hAnsi="Arial" w:cs="Arial"/>
          <w:sz w:val="18"/>
          <w:szCs w:val="18"/>
          <w:lang w:val="es-AR"/>
        </w:rPr>
        <w:t>Plant</w:t>
      </w:r>
      <w:proofErr w:type="spellEnd"/>
      <w:r w:rsidR="00FC0D3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="00FC0D3C">
        <w:rPr>
          <w:rFonts w:ascii="Arial" w:hAnsi="Arial" w:cs="Arial"/>
          <w:sz w:val="18"/>
          <w:szCs w:val="18"/>
          <w:lang w:val="es-AR"/>
        </w:rPr>
        <w:t>Nutrition</w:t>
      </w:r>
      <w:proofErr w:type="spellEnd"/>
      <w:r w:rsidR="00FC0D3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="00FC0D3C">
        <w:rPr>
          <w:rFonts w:ascii="Arial" w:hAnsi="Arial" w:cs="Arial"/>
          <w:sz w:val="18"/>
          <w:szCs w:val="18"/>
          <w:lang w:val="es-AR"/>
        </w:rPr>
        <w:t>Institute</w:t>
      </w:r>
      <w:proofErr w:type="spellEnd"/>
      <w:r w:rsidR="00FC0D3C">
        <w:rPr>
          <w:rFonts w:ascii="Arial" w:hAnsi="Arial" w:cs="Arial"/>
          <w:sz w:val="18"/>
          <w:szCs w:val="18"/>
          <w:lang w:val="es-AR"/>
        </w:rPr>
        <w:t>. 140 pp.</w:t>
      </w:r>
    </w:p>
    <w:p w:rsidR="00DF40B1" w:rsidRPr="0028098A" w:rsidRDefault="005A68C7" w:rsidP="00493288">
      <w:pPr>
        <w:spacing w:line="24" w:lineRule="atLeast"/>
        <w:ind w:left="284" w:hanging="284"/>
        <w:jc w:val="both"/>
        <w:rPr>
          <w:rFonts w:ascii="Arial" w:eastAsia="Calibri" w:hAnsi="Arial" w:cs="Arial"/>
          <w:sz w:val="20"/>
          <w:szCs w:val="22"/>
          <w:lang w:val="es-AR" w:eastAsia="es-AR"/>
        </w:rPr>
      </w:pPr>
      <w:r w:rsidRPr="0028098A">
        <w:rPr>
          <w:rFonts w:ascii="Arial" w:hAnsi="Arial" w:cs="Arial"/>
          <w:sz w:val="18"/>
          <w:szCs w:val="18"/>
          <w:lang w:val="es-AR"/>
        </w:rPr>
        <w:t>Márgenes Agropecuarios. 2013.</w:t>
      </w:r>
      <w:r w:rsidR="00493288" w:rsidRPr="0028098A">
        <w:rPr>
          <w:rFonts w:ascii="Arial" w:hAnsi="Arial" w:cs="Arial"/>
          <w:sz w:val="18"/>
          <w:szCs w:val="18"/>
          <w:lang w:val="es-AR"/>
        </w:rPr>
        <w:t xml:space="preserve"> </w:t>
      </w:r>
      <w:r w:rsidR="00106978">
        <w:rPr>
          <w:rFonts w:ascii="Arial" w:hAnsi="Arial" w:cs="Arial"/>
          <w:sz w:val="18"/>
          <w:szCs w:val="18"/>
          <w:lang w:val="es-AR"/>
        </w:rPr>
        <w:t>Estadísticas</w:t>
      </w:r>
      <w:r w:rsidR="00493288" w:rsidRPr="0028098A">
        <w:rPr>
          <w:rFonts w:ascii="Arial" w:hAnsi="Arial" w:cs="Arial"/>
          <w:sz w:val="18"/>
          <w:szCs w:val="18"/>
          <w:lang w:val="es-AR"/>
        </w:rPr>
        <w:t>.</w:t>
      </w:r>
      <w:r w:rsidRPr="0028098A">
        <w:rPr>
          <w:rFonts w:ascii="Arial" w:hAnsi="Arial" w:cs="Arial"/>
          <w:sz w:val="18"/>
          <w:szCs w:val="18"/>
          <w:lang w:val="es-AR"/>
        </w:rPr>
        <w:t xml:space="preserve"> </w:t>
      </w:r>
      <w:hyperlink r:id="rId17" w:history="1">
        <w:r w:rsidR="00DF40B1" w:rsidRPr="002563AF">
          <w:rPr>
            <w:rStyle w:val="Hipervnculo"/>
            <w:rFonts w:ascii="Arial" w:hAnsi="Arial" w:cs="Arial"/>
            <w:sz w:val="18"/>
            <w:szCs w:val="18"/>
            <w:lang w:val="es-AR"/>
          </w:rPr>
          <w:t>http://www.margenes.com/estadistica/</w:t>
        </w:r>
      </w:hyperlink>
    </w:p>
    <w:sectPr w:rsidR="00DF40B1" w:rsidRPr="0028098A" w:rsidSect="00794F91">
      <w:headerReference w:type="firs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D9" w:rsidRDefault="001202D9" w:rsidP="003709AF">
      <w:r>
        <w:separator/>
      </w:r>
    </w:p>
  </w:endnote>
  <w:endnote w:type="continuationSeparator" w:id="0">
    <w:p w:rsidR="001202D9" w:rsidRDefault="001202D9" w:rsidP="0037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OEG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D9" w:rsidRDefault="001202D9" w:rsidP="003709AF">
      <w:r>
        <w:separator/>
      </w:r>
    </w:p>
  </w:footnote>
  <w:footnote w:type="continuationSeparator" w:id="0">
    <w:p w:rsidR="001202D9" w:rsidRDefault="001202D9" w:rsidP="00370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604"/>
      <w:gridCol w:w="8250"/>
    </w:tblGrid>
    <w:tr w:rsidR="00674FF5" w:rsidTr="00DC541F">
      <w:trPr>
        <w:trHeight w:val="420"/>
      </w:trPr>
      <w:tc>
        <w:tcPr>
          <w:tcW w:w="1526" w:type="dxa"/>
          <w:vMerge w:val="restart"/>
          <w:shd w:val="clear" w:color="auto" w:fill="auto"/>
          <w:vAlign w:val="center"/>
        </w:tcPr>
        <w:p w:rsidR="00674FF5" w:rsidRPr="00E325AE" w:rsidRDefault="00B07F5D" w:rsidP="00D26266">
          <w:pPr>
            <w:pStyle w:val="Encabezado"/>
            <w:jc w:val="center"/>
            <w:rPr>
              <w:lang w:val="pt-BR"/>
            </w:rPr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862330" cy="87122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330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8" w:type="dxa"/>
          <w:shd w:val="clear" w:color="auto" w:fill="auto"/>
          <w:vAlign w:val="center"/>
        </w:tcPr>
        <w:p w:rsidR="00674FF5" w:rsidRPr="00E325AE" w:rsidRDefault="00DC541F" w:rsidP="00DC541F">
          <w:pPr>
            <w:pStyle w:val="Encabezado"/>
            <w:rPr>
              <w:color w:val="996633"/>
              <w:sz w:val="22"/>
              <w:szCs w:val="22"/>
              <w:lang w:val="pt-BR"/>
            </w:rPr>
          </w:pPr>
          <w:r w:rsidRPr="00E325AE">
            <w:rPr>
              <w:b/>
              <w:sz w:val="22"/>
              <w:szCs w:val="22"/>
              <w:lang w:val="pt-BR"/>
            </w:rPr>
            <w:t>XXIV Congreso Argentino de la Ciencia del Suelo</w:t>
          </w:r>
        </w:p>
      </w:tc>
    </w:tr>
    <w:tr w:rsidR="00674FF5" w:rsidRPr="006D041E" w:rsidTr="00DC541F">
      <w:trPr>
        <w:trHeight w:val="286"/>
      </w:trPr>
      <w:tc>
        <w:tcPr>
          <w:tcW w:w="1526" w:type="dxa"/>
          <w:vMerge/>
          <w:shd w:val="clear" w:color="auto" w:fill="auto"/>
          <w:vAlign w:val="center"/>
        </w:tcPr>
        <w:p w:rsidR="00674FF5" w:rsidRPr="00E325AE" w:rsidRDefault="00674FF5" w:rsidP="00D26266">
          <w:pPr>
            <w:pStyle w:val="Encabezado"/>
            <w:jc w:val="center"/>
            <w:rPr>
              <w:lang w:val="pt-BR"/>
            </w:rPr>
          </w:pPr>
        </w:p>
      </w:tc>
      <w:tc>
        <w:tcPr>
          <w:tcW w:w="8328" w:type="dxa"/>
          <w:shd w:val="clear" w:color="auto" w:fill="auto"/>
          <w:vAlign w:val="center"/>
        </w:tcPr>
        <w:p w:rsidR="00674FF5" w:rsidRPr="00E325AE" w:rsidRDefault="00DC541F" w:rsidP="00DC541F">
          <w:pPr>
            <w:pStyle w:val="Encabezado"/>
            <w:rPr>
              <w:color w:val="996633"/>
              <w:sz w:val="22"/>
              <w:szCs w:val="22"/>
              <w:lang w:val="pt-BR"/>
            </w:rPr>
          </w:pPr>
          <w:r w:rsidRPr="00E325AE">
            <w:rPr>
              <w:b/>
              <w:sz w:val="22"/>
              <w:szCs w:val="22"/>
              <w:lang w:val="pt-BR"/>
            </w:rPr>
            <w:t>II Reunión Nacional “Materia Orgánica y Sustancias Húmicas”</w:t>
          </w:r>
        </w:p>
      </w:tc>
    </w:tr>
    <w:tr w:rsidR="00674FF5" w:rsidRPr="006D041E" w:rsidTr="00DC541F">
      <w:trPr>
        <w:trHeight w:val="220"/>
      </w:trPr>
      <w:tc>
        <w:tcPr>
          <w:tcW w:w="1526" w:type="dxa"/>
          <w:vMerge/>
          <w:shd w:val="clear" w:color="auto" w:fill="auto"/>
          <w:vAlign w:val="center"/>
        </w:tcPr>
        <w:p w:rsidR="00674FF5" w:rsidRPr="00E325AE" w:rsidRDefault="00674FF5" w:rsidP="00D26266">
          <w:pPr>
            <w:pStyle w:val="Encabezado"/>
            <w:jc w:val="center"/>
            <w:rPr>
              <w:lang w:val="pt-BR"/>
            </w:rPr>
          </w:pPr>
        </w:p>
      </w:tc>
      <w:tc>
        <w:tcPr>
          <w:tcW w:w="8328" w:type="dxa"/>
          <w:shd w:val="clear" w:color="auto" w:fill="auto"/>
          <w:vAlign w:val="center"/>
        </w:tcPr>
        <w:p w:rsidR="00674FF5" w:rsidRPr="00E325AE" w:rsidRDefault="00DC541F" w:rsidP="005C02CA">
          <w:pPr>
            <w:pStyle w:val="Encabezado"/>
            <w:spacing w:before="120" w:after="120"/>
            <w:jc w:val="center"/>
            <w:rPr>
              <w:color w:val="996633"/>
              <w:sz w:val="22"/>
              <w:szCs w:val="22"/>
              <w:lang w:val="pt-BR"/>
            </w:rPr>
          </w:pPr>
          <w:r w:rsidRPr="00E325AE">
            <w:rPr>
              <w:i/>
              <w:sz w:val="22"/>
              <w:szCs w:val="22"/>
              <w:lang w:val="pt-BR"/>
            </w:rPr>
            <w:t>Producción sustentable en ambientes frágiles</w:t>
          </w:r>
        </w:p>
      </w:tc>
    </w:tr>
    <w:tr w:rsidR="00674FF5" w:rsidTr="00DC541F">
      <w:trPr>
        <w:trHeight w:val="167"/>
      </w:trPr>
      <w:tc>
        <w:tcPr>
          <w:tcW w:w="1526" w:type="dxa"/>
          <w:vMerge/>
          <w:shd w:val="clear" w:color="auto" w:fill="auto"/>
          <w:vAlign w:val="center"/>
        </w:tcPr>
        <w:p w:rsidR="00674FF5" w:rsidRPr="00E325AE" w:rsidRDefault="00674FF5" w:rsidP="00D26266">
          <w:pPr>
            <w:pStyle w:val="Encabezado"/>
            <w:jc w:val="center"/>
            <w:rPr>
              <w:lang w:val="pt-BR"/>
            </w:rPr>
          </w:pPr>
        </w:p>
      </w:tc>
      <w:tc>
        <w:tcPr>
          <w:tcW w:w="8328" w:type="dxa"/>
          <w:shd w:val="clear" w:color="auto" w:fill="auto"/>
          <w:vAlign w:val="center"/>
        </w:tcPr>
        <w:p w:rsidR="00674FF5" w:rsidRPr="00E325AE" w:rsidRDefault="00DC541F" w:rsidP="006D041E">
          <w:pPr>
            <w:pStyle w:val="Encabezado"/>
            <w:jc w:val="right"/>
            <w:rPr>
              <w:color w:val="996633"/>
              <w:sz w:val="22"/>
              <w:szCs w:val="22"/>
              <w:lang w:val="pt-BR"/>
            </w:rPr>
          </w:pPr>
          <w:r w:rsidRPr="00E325AE">
            <w:rPr>
              <w:sz w:val="22"/>
              <w:szCs w:val="22"/>
              <w:lang w:val="pt-BR"/>
            </w:rPr>
            <w:t>Bahía Blanca, 5 al 9 de mayo de 2014</w:t>
          </w:r>
        </w:p>
      </w:tc>
    </w:tr>
  </w:tbl>
  <w:p w:rsidR="00674FF5" w:rsidRPr="002F4749" w:rsidRDefault="00674FF5" w:rsidP="00DC541F">
    <w:pPr>
      <w:pStyle w:val="Encabezado"/>
      <w:pBdr>
        <w:bottom w:val="single" w:sz="18" w:space="1" w:color="76923C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75B8"/>
    <w:multiLevelType w:val="hybridMultilevel"/>
    <w:tmpl w:val="CBD0A29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6D7D"/>
    <w:multiLevelType w:val="hybridMultilevel"/>
    <w:tmpl w:val="BF5A8D70"/>
    <w:lvl w:ilvl="0" w:tplc="E8988CF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D1F29"/>
    <w:multiLevelType w:val="hybridMultilevel"/>
    <w:tmpl w:val="B038F6E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1E41"/>
    <w:multiLevelType w:val="hybridMultilevel"/>
    <w:tmpl w:val="A47EFEF0"/>
    <w:lvl w:ilvl="0" w:tplc="E8988CF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949A8"/>
    <w:multiLevelType w:val="hybridMultilevel"/>
    <w:tmpl w:val="02945A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E342D"/>
    <w:multiLevelType w:val="hybridMultilevel"/>
    <w:tmpl w:val="A1A6EF0C"/>
    <w:lvl w:ilvl="0" w:tplc="E8988CF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13BD4"/>
    <w:multiLevelType w:val="hybridMultilevel"/>
    <w:tmpl w:val="A386D1B0"/>
    <w:lvl w:ilvl="0" w:tplc="15D840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F04FD"/>
    <w:multiLevelType w:val="hybridMultilevel"/>
    <w:tmpl w:val="2EDADC2C"/>
    <w:lvl w:ilvl="0" w:tplc="E8988CF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66"/>
    <w:rsid w:val="00000C4A"/>
    <w:rsid w:val="00002832"/>
    <w:rsid w:val="000037D6"/>
    <w:rsid w:val="00011BFD"/>
    <w:rsid w:val="00017917"/>
    <w:rsid w:val="00020C9B"/>
    <w:rsid w:val="00037121"/>
    <w:rsid w:val="000563F1"/>
    <w:rsid w:val="0007060C"/>
    <w:rsid w:val="00073D14"/>
    <w:rsid w:val="00073DA1"/>
    <w:rsid w:val="0007776E"/>
    <w:rsid w:val="000932AB"/>
    <w:rsid w:val="000943F2"/>
    <w:rsid w:val="00094E82"/>
    <w:rsid w:val="00097B7B"/>
    <w:rsid w:val="000A1AA1"/>
    <w:rsid w:val="000C1C14"/>
    <w:rsid w:val="000C2387"/>
    <w:rsid w:val="000C47C9"/>
    <w:rsid w:val="000D041C"/>
    <w:rsid w:val="000D229C"/>
    <w:rsid w:val="000D37C2"/>
    <w:rsid w:val="000D60EA"/>
    <w:rsid w:val="000E2B27"/>
    <w:rsid w:val="000E3011"/>
    <w:rsid w:val="000E37EB"/>
    <w:rsid w:val="000E51CC"/>
    <w:rsid w:val="000E7F78"/>
    <w:rsid w:val="000F0A38"/>
    <w:rsid w:val="001049DC"/>
    <w:rsid w:val="001052B5"/>
    <w:rsid w:val="00106978"/>
    <w:rsid w:val="00106D90"/>
    <w:rsid w:val="00117D03"/>
    <w:rsid w:val="001202D9"/>
    <w:rsid w:val="0013115E"/>
    <w:rsid w:val="00131750"/>
    <w:rsid w:val="00131FD6"/>
    <w:rsid w:val="00136A65"/>
    <w:rsid w:val="00136E35"/>
    <w:rsid w:val="00142040"/>
    <w:rsid w:val="00144066"/>
    <w:rsid w:val="0014445A"/>
    <w:rsid w:val="001449D1"/>
    <w:rsid w:val="00152729"/>
    <w:rsid w:val="00156066"/>
    <w:rsid w:val="00157D01"/>
    <w:rsid w:val="00182A1A"/>
    <w:rsid w:val="001B22EA"/>
    <w:rsid w:val="001C352A"/>
    <w:rsid w:val="001E1824"/>
    <w:rsid w:val="001E6858"/>
    <w:rsid w:val="001E7F58"/>
    <w:rsid w:val="001F160A"/>
    <w:rsid w:val="00206EF3"/>
    <w:rsid w:val="002219E0"/>
    <w:rsid w:val="00230E47"/>
    <w:rsid w:val="00237D38"/>
    <w:rsid w:val="00253B2A"/>
    <w:rsid w:val="00257C99"/>
    <w:rsid w:val="00263602"/>
    <w:rsid w:val="00270ECD"/>
    <w:rsid w:val="0027482F"/>
    <w:rsid w:val="00277D11"/>
    <w:rsid w:val="00277ED9"/>
    <w:rsid w:val="0028098A"/>
    <w:rsid w:val="0028673C"/>
    <w:rsid w:val="0029401C"/>
    <w:rsid w:val="002A2666"/>
    <w:rsid w:val="002B1458"/>
    <w:rsid w:val="002D1462"/>
    <w:rsid w:val="00312CE7"/>
    <w:rsid w:val="003154D2"/>
    <w:rsid w:val="003205D6"/>
    <w:rsid w:val="00323B11"/>
    <w:rsid w:val="00324536"/>
    <w:rsid w:val="00330D21"/>
    <w:rsid w:val="00342367"/>
    <w:rsid w:val="0035325E"/>
    <w:rsid w:val="00356A68"/>
    <w:rsid w:val="00356D0F"/>
    <w:rsid w:val="0036195B"/>
    <w:rsid w:val="003709AF"/>
    <w:rsid w:val="00373F88"/>
    <w:rsid w:val="00384071"/>
    <w:rsid w:val="003936F2"/>
    <w:rsid w:val="003A47E7"/>
    <w:rsid w:val="003A5D3D"/>
    <w:rsid w:val="003B65AC"/>
    <w:rsid w:val="003C2F38"/>
    <w:rsid w:val="003F15E5"/>
    <w:rsid w:val="00423972"/>
    <w:rsid w:val="00436B09"/>
    <w:rsid w:val="0045531B"/>
    <w:rsid w:val="004572F7"/>
    <w:rsid w:val="00493288"/>
    <w:rsid w:val="004A4E5D"/>
    <w:rsid w:val="004A5D18"/>
    <w:rsid w:val="004B0DD6"/>
    <w:rsid w:val="004B46D8"/>
    <w:rsid w:val="004C2364"/>
    <w:rsid w:val="004D283B"/>
    <w:rsid w:val="004F501E"/>
    <w:rsid w:val="00504694"/>
    <w:rsid w:val="00547542"/>
    <w:rsid w:val="0055649C"/>
    <w:rsid w:val="00580914"/>
    <w:rsid w:val="00584A4F"/>
    <w:rsid w:val="005A0241"/>
    <w:rsid w:val="005A68C7"/>
    <w:rsid w:val="005C02CA"/>
    <w:rsid w:val="005C78B1"/>
    <w:rsid w:val="005D32A7"/>
    <w:rsid w:val="005F71B6"/>
    <w:rsid w:val="00600372"/>
    <w:rsid w:val="00615D2D"/>
    <w:rsid w:val="00616826"/>
    <w:rsid w:val="00620A08"/>
    <w:rsid w:val="00630DB5"/>
    <w:rsid w:val="00633BAF"/>
    <w:rsid w:val="00634193"/>
    <w:rsid w:val="00634946"/>
    <w:rsid w:val="00640615"/>
    <w:rsid w:val="006610DD"/>
    <w:rsid w:val="00664353"/>
    <w:rsid w:val="00674FF5"/>
    <w:rsid w:val="00687CD2"/>
    <w:rsid w:val="006A4FE7"/>
    <w:rsid w:val="006B1F54"/>
    <w:rsid w:val="006B3044"/>
    <w:rsid w:val="006C25D8"/>
    <w:rsid w:val="006C697B"/>
    <w:rsid w:val="006D041E"/>
    <w:rsid w:val="006D5256"/>
    <w:rsid w:val="006D69CB"/>
    <w:rsid w:val="006E371C"/>
    <w:rsid w:val="00704CDE"/>
    <w:rsid w:val="00733C0C"/>
    <w:rsid w:val="0073515B"/>
    <w:rsid w:val="007507EF"/>
    <w:rsid w:val="00752E71"/>
    <w:rsid w:val="00763CEF"/>
    <w:rsid w:val="00784324"/>
    <w:rsid w:val="00794200"/>
    <w:rsid w:val="00794F91"/>
    <w:rsid w:val="00797065"/>
    <w:rsid w:val="007A73C8"/>
    <w:rsid w:val="007B09DD"/>
    <w:rsid w:val="007B4DA9"/>
    <w:rsid w:val="007C12DE"/>
    <w:rsid w:val="007C519A"/>
    <w:rsid w:val="007D332F"/>
    <w:rsid w:val="007D33AC"/>
    <w:rsid w:val="007E0613"/>
    <w:rsid w:val="007E1B4A"/>
    <w:rsid w:val="007E6727"/>
    <w:rsid w:val="00802E26"/>
    <w:rsid w:val="00805B3A"/>
    <w:rsid w:val="00806C34"/>
    <w:rsid w:val="008232D0"/>
    <w:rsid w:val="00832D2C"/>
    <w:rsid w:val="008421B5"/>
    <w:rsid w:val="00845DBB"/>
    <w:rsid w:val="0084705E"/>
    <w:rsid w:val="00847E40"/>
    <w:rsid w:val="00856AC2"/>
    <w:rsid w:val="00883FC5"/>
    <w:rsid w:val="00885CA7"/>
    <w:rsid w:val="00891636"/>
    <w:rsid w:val="008B70D8"/>
    <w:rsid w:val="008C31F7"/>
    <w:rsid w:val="008D228B"/>
    <w:rsid w:val="008D38B7"/>
    <w:rsid w:val="008E0017"/>
    <w:rsid w:val="008E3C8C"/>
    <w:rsid w:val="008E6AA4"/>
    <w:rsid w:val="008F4867"/>
    <w:rsid w:val="0090277E"/>
    <w:rsid w:val="00903149"/>
    <w:rsid w:val="00921AF2"/>
    <w:rsid w:val="00923DF6"/>
    <w:rsid w:val="00923FAD"/>
    <w:rsid w:val="009257A8"/>
    <w:rsid w:val="0093080C"/>
    <w:rsid w:val="00935764"/>
    <w:rsid w:val="00947FB4"/>
    <w:rsid w:val="009564C0"/>
    <w:rsid w:val="00962A63"/>
    <w:rsid w:val="009651DA"/>
    <w:rsid w:val="009656F7"/>
    <w:rsid w:val="009660BE"/>
    <w:rsid w:val="00980439"/>
    <w:rsid w:val="009B2702"/>
    <w:rsid w:val="009C11C6"/>
    <w:rsid w:val="009D0ED4"/>
    <w:rsid w:val="009D0FDA"/>
    <w:rsid w:val="009D2F25"/>
    <w:rsid w:val="009D7CD6"/>
    <w:rsid w:val="009E1A0C"/>
    <w:rsid w:val="009F314E"/>
    <w:rsid w:val="00A10CCC"/>
    <w:rsid w:val="00A23064"/>
    <w:rsid w:val="00A51052"/>
    <w:rsid w:val="00A96BAD"/>
    <w:rsid w:val="00AA6B63"/>
    <w:rsid w:val="00AB5FA3"/>
    <w:rsid w:val="00AB7B7C"/>
    <w:rsid w:val="00AF02CD"/>
    <w:rsid w:val="00AF6207"/>
    <w:rsid w:val="00B06900"/>
    <w:rsid w:val="00B07F5D"/>
    <w:rsid w:val="00B152A4"/>
    <w:rsid w:val="00B21F7F"/>
    <w:rsid w:val="00B35F6F"/>
    <w:rsid w:val="00B43B5C"/>
    <w:rsid w:val="00B44ABB"/>
    <w:rsid w:val="00B735D3"/>
    <w:rsid w:val="00B86E7F"/>
    <w:rsid w:val="00BA5E12"/>
    <w:rsid w:val="00BA68E6"/>
    <w:rsid w:val="00BC4999"/>
    <w:rsid w:val="00BC68A4"/>
    <w:rsid w:val="00BE01DD"/>
    <w:rsid w:val="00BE1297"/>
    <w:rsid w:val="00BF1303"/>
    <w:rsid w:val="00BF44F7"/>
    <w:rsid w:val="00BF6838"/>
    <w:rsid w:val="00C04B44"/>
    <w:rsid w:val="00C079B2"/>
    <w:rsid w:val="00C173FC"/>
    <w:rsid w:val="00C22A12"/>
    <w:rsid w:val="00C34F5F"/>
    <w:rsid w:val="00C4482B"/>
    <w:rsid w:val="00C511A5"/>
    <w:rsid w:val="00C52102"/>
    <w:rsid w:val="00C55C1B"/>
    <w:rsid w:val="00C670D9"/>
    <w:rsid w:val="00C72262"/>
    <w:rsid w:val="00C73143"/>
    <w:rsid w:val="00C86C17"/>
    <w:rsid w:val="00C91CE2"/>
    <w:rsid w:val="00CB4CA9"/>
    <w:rsid w:val="00CC1E2E"/>
    <w:rsid w:val="00CC32F1"/>
    <w:rsid w:val="00CC4D71"/>
    <w:rsid w:val="00CE6F7E"/>
    <w:rsid w:val="00D033B8"/>
    <w:rsid w:val="00D03B0C"/>
    <w:rsid w:val="00D05355"/>
    <w:rsid w:val="00D14D8B"/>
    <w:rsid w:val="00D179B7"/>
    <w:rsid w:val="00D21D43"/>
    <w:rsid w:val="00D250A1"/>
    <w:rsid w:val="00D26266"/>
    <w:rsid w:val="00D278E9"/>
    <w:rsid w:val="00D42C6D"/>
    <w:rsid w:val="00D459DB"/>
    <w:rsid w:val="00D76A9E"/>
    <w:rsid w:val="00DB205B"/>
    <w:rsid w:val="00DB3D0B"/>
    <w:rsid w:val="00DB3F97"/>
    <w:rsid w:val="00DC541F"/>
    <w:rsid w:val="00DC542E"/>
    <w:rsid w:val="00DE04CB"/>
    <w:rsid w:val="00DE7EBE"/>
    <w:rsid w:val="00DF40B1"/>
    <w:rsid w:val="00E04BFE"/>
    <w:rsid w:val="00E1158F"/>
    <w:rsid w:val="00E20A30"/>
    <w:rsid w:val="00E21709"/>
    <w:rsid w:val="00E325AE"/>
    <w:rsid w:val="00E35008"/>
    <w:rsid w:val="00E41D51"/>
    <w:rsid w:val="00E42A2E"/>
    <w:rsid w:val="00E455AD"/>
    <w:rsid w:val="00E809CB"/>
    <w:rsid w:val="00E975AC"/>
    <w:rsid w:val="00EA6911"/>
    <w:rsid w:val="00EB3FC4"/>
    <w:rsid w:val="00EB525F"/>
    <w:rsid w:val="00EB63CE"/>
    <w:rsid w:val="00EC21E6"/>
    <w:rsid w:val="00ED2E41"/>
    <w:rsid w:val="00F0559B"/>
    <w:rsid w:val="00F11535"/>
    <w:rsid w:val="00F130C2"/>
    <w:rsid w:val="00F20257"/>
    <w:rsid w:val="00F21F6B"/>
    <w:rsid w:val="00F3073A"/>
    <w:rsid w:val="00F4406A"/>
    <w:rsid w:val="00F54DCC"/>
    <w:rsid w:val="00F54F74"/>
    <w:rsid w:val="00F61535"/>
    <w:rsid w:val="00F63C58"/>
    <w:rsid w:val="00F644B7"/>
    <w:rsid w:val="00F64E18"/>
    <w:rsid w:val="00F707C1"/>
    <w:rsid w:val="00F76380"/>
    <w:rsid w:val="00F82521"/>
    <w:rsid w:val="00FA4968"/>
    <w:rsid w:val="00FA612E"/>
    <w:rsid w:val="00FB1B56"/>
    <w:rsid w:val="00FC0D3C"/>
    <w:rsid w:val="00FD16A5"/>
    <w:rsid w:val="00FE7243"/>
    <w:rsid w:val="00FF123A"/>
    <w:rsid w:val="00FF5D24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66"/>
    <w:rPr>
      <w:rFonts w:ascii="Times New Roman" w:eastAsia="Times New Roman" w:hAnsi="Times New Roman"/>
      <w:sz w:val="24"/>
      <w:szCs w:val="24"/>
      <w:lang w:val="pt-B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2626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26266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link w:val="Encabezado"/>
    <w:uiPriority w:val="99"/>
    <w:rsid w:val="00D262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D26266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6D041E"/>
    <w:pPr>
      <w:tabs>
        <w:tab w:val="center" w:pos="4680"/>
        <w:tab w:val="right" w:pos="9360"/>
      </w:tabs>
    </w:pPr>
    <w:rPr>
      <w:lang w:val="es-ES"/>
    </w:rPr>
  </w:style>
  <w:style w:type="character" w:customStyle="1" w:styleId="PiedepginaCar">
    <w:name w:val="Pie de página Car"/>
    <w:link w:val="Piedepgina"/>
    <w:uiPriority w:val="99"/>
    <w:rsid w:val="006D041E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qFormat/>
    <w:rsid w:val="004572F7"/>
    <w:rPr>
      <w:b/>
      <w:bCs/>
    </w:rPr>
  </w:style>
  <w:style w:type="character" w:styleId="Refdecomentario">
    <w:name w:val="annotation reference"/>
    <w:semiHidden/>
    <w:rsid w:val="001E7F58"/>
    <w:rPr>
      <w:sz w:val="16"/>
      <w:szCs w:val="16"/>
    </w:rPr>
  </w:style>
  <w:style w:type="paragraph" w:styleId="Textocomentario">
    <w:name w:val="annotation text"/>
    <w:basedOn w:val="Normal"/>
    <w:semiHidden/>
    <w:rsid w:val="001E7F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E7F58"/>
    <w:rPr>
      <w:b/>
      <w:bCs/>
    </w:rPr>
  </w:style>
  <w:style w:type="paragraph" w:styleId="Textodeglobo">
    <w:name w:val="Balloon Text"/>
    <w:basedOn w:val="Normal"/>
    <w:semiHidden/>
    <w:rsid w:val="001E7F58"/>
    <w:rPr>
      <w:rFonts w:ascii="Tahoma" w:hAnsi="Tahoma" w:cs="Tahoma"/>
      <w:sz w:val="16"/>
      <w:szCs w:val="16"/>
    </w:rPr>
  </w:style>
  <w:style w:type="character" w:customStyle="1" w:styleId="gi">
    <w:name w:val="gi"/>
    <w:basedOn w:val="Fuentedeprrafopredeter"/>
    <w:rsid w:val="00277ED9"/>
  </w:style>
  <w:style w:type="paragraph" w:styleId="Textoindependiente">
    <w:name w:val="Body Text"/>
    <w:basedOn w:val="Normal"/>
    <w:next w:val="Normal"/>
    <w:link w:val="TextoindependienteCar"/>
    <w:rsid w:val="00EC21E6"/>
    <w:pPr>
      <w:autoSpaceDE w:val="0"/>
      <w:autoSpaceDN w:val="0"/>
      <w:adjustRightInd w:val="0"/>
    </w:pPr>
    <w:rPr>
      <w:rFonts w:ascii="EMOEGP+Arial,Bold" w:hAnsi="EMOEGP+Arial,Bold"/>
      <w:lang w:val="es-ES"/>
    </w:rPr>
  </w:style>
  <w:style w:type="character" w:customStyle="1" w:styleId="TextoindependienteCar">
    <w:name w:val="Texto independiente Car"/>
    <w:link w:val="Textoindependiente"/>
    <w:rsid w:val="00EC21E6"/>
    <w:rPr>
      <w:rFonts w:ascii="EMOEGP+Arial,Bold" w:eastAsia="Times New Roman" w:hAnsi="EMOEGP+Arial,Bold"/>
      <w:sz w:val="24"/>
      <w:szCs w:val="24"/>
      <w:lang w:val="es-ES" w:eastAsia="es-ES"/>
    </w:rPr>
  </w:style>
  <w:style w:type="table" w:customStyle="1" w:styleId="LightGrid2">
    <w:name w:val="Light Grid2"/>
    <w:basedOn w:val="Tablanormal"/>
    <w:uiPriority w:val="62"/>
    <w:rsid w:val="00D03B0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66"/>
    <w:rPr>
      <w:rFonts w:ascii="Times New Roman" w:eastAsia="Times New Roman" w:hAnsi="Times New Roman"/>
      <w:sz w:val="24"/>
      <w:szCs w:val="24"/>
      <w:lang w:val="pt-B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2626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26266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link w:val="Encabezado"/>
    <w:uiPriority w:val="99"/>
    <w:rsid w:val="00D262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D26266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6D041E"/>
    <w:pPr>
      <w:tabs>
        <w:tab w:val="center" w:pos="4680"/>
        <w:tab w:val="right" w:pos="9360"/>
      </w:tabs>
    </w:pPr>
    <w:rPr>
      <w:lang w:val="es-ES"/>
    </w:rPr>
  </w:style>
  <w:style w:type="character" w:customStyle="1" w:styleId="PiedepginaCar">
    <w:name w:val="Pie de página Car"/>
    <w:link w:val="Piedepgina"/>
    <w:uiPriority w:val="99"/>
    <w:rsid w:val="006D041E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qFormat/>
    <w:rsid w:val="004572F7"/>
    <w:rPr>
      <w:b/>
      <w:bCs/>
    </w:rPr>
  </w:style>
  <w:style w:type="character" w:styleId="Refdecomentario">
    <w:name w:val="annotation reference"/>
    <w:semiHidden/>
    <w:rsid w:val="001E7F58"/>
    <w:rPr>
      <w:sz w:val="16"/>
      <w:szCs w:val="16"/>
    </w:rPr>
  </w:style>
  <w:style w:type="paragraph" w:styleId="Textocomentario">
    <w:name w:val="annotation text"/>
    <w:basedOn w:val="Normal"/>
    <w:semiHidden/>
    <w:rsid w:val="001E7F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E7F58"/>
    <w:rPr>
      <w:b/>
      <w:bCs/>
    </w:rPr>
  </w:style>
  <w:style w:type="paragraph" w:styleId="Textodeglobo">
    <w:name w:val="Balloon Text"/>
    <w:basedOn w:val="Normal"/>
    <w:semiHidden/>
    <w:rsid w:val="001E7F58"/>
    <w:rPr>
      <w:rFonts w:ascii="Tahoma" w:hAnsi="Tahoma" w:cs="Tahoma"/>
      <w:sz w:val="16"/>
      <w:szCs w:val="16"/>
    </w:rPr>
  </w:style>
  <w:style w:type="character" w:customStyle="1" w:styleId="gi">
    <w:name w:val="gi"/>
    <w:basedOn w:val="Fuentedeprrafopredeter"/>
    <w:rsid w:val="00277ED9"/>
  </w:style>
  <w:style w:type="paragraph" w:styleId="Textoindependiente">
    <w:name w:val="Body Text"/>
    <w:basedOn w:val="Normal"/>
    <w:next w:val="Normal"/>
    <w:link w:val="TextoindependienteCar"/>
    <w:rsid w:val="00EC21E6"/>
    <w:pPr>
      <w:autoSpaceDE w:val="0"/>
      <w:autoSpaceDN w:val="0"/>
      <w:adjustRightInd w:val="0"/>
    </w:pPr>
    <w:rPr>
      <w:rFonts w:ascii="EMOEGP+Arial,Bold" w:hAnsi="EMOEGP+Arial,Bold"/>
      <w:lang w:val="es-ES"/>
    </w:rPr>
  </w:style>
  <w:style w:type="character" w:customStyle="1" w:styleId="TextoindependienteCar">
    <w:name w:val="Texto independiente Car"/>
    <w:link w:val="Textoindependiente"/>
    <w:rsid w:val="00EC21E6"/>
    <w:rPr>
      <w:rFonts w:ascii="EMOEGP+Arial,Bold" w:eastAsia="Times New Roman" w:hAnsi="EMOEGP+Arial,Bold"/>
      <w:sz w:val="24"/>
      <w:szCs w:val="24"/>
      <w:lang w:val="es-ES" w:eastAsia="es-ES"/>
    </w:rPr>
  </w:style>
  <w:style w:type="table" w:customStyle="1" w:styleId="LightGrid2">
    <w:name w:val="Light Grid2"/>
    <w:basedOn w:val="Tablanormal"/>
    <w:uiPriority w:val="62"/>
    <w:rsid w:val="00D03B0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gromercado.com.ar/?economic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17" Type="http://schemas.openxmlformats.org/officeDocument/2006/relationships/hyperlink" Target="http://www.margenes.com/estadistic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dec.mecon.ar/principal.asp?id_tema=1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hyperlink" Target="http://www.imf.org/external/country/USA/index.htm" TargetMode="External"/><Relationship Id="rId10" Type="http://schemas.openxmlformats.org/officeDocument/2006/relationships/image" Target="media/image1.tif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correndo@ipni.net" TargetMode="External"/><Relationship Id="rId14" Type="http://schemas.openxmlformats.org/officeDocument/2006/relationships/hyperlink" Target="http://www.bcra.gov.ar/index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165D-CF92-443C-B419-14FDA439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2925</Words>
  <Characters>16090</Characters>
  <Application>Microsoft Office Word</Application>
  <DocSecurity>0</DocSecurity>
  <Lines>134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NORMAS DE APRESENTAÇÃO DE TRABALHOS:</vt:lpstr>
      <vt:lpstr>NORMAS DE APRESENTAÇÃO DE TRABALHOS:</vt:lpstr>
    </vt:vector>
  </TitlesOfParts>
  <Company>Hewlett-Packard</Company>
  <LinksUpToDate>false</LinksUpToDate>
  <CharactersWithSpaces>18978</CharactersWithSpaces>
  <SharedDoc>false</SharedDoc>
  <HLinks>
    <vt:vector size="30" baseType="variant">
      <vt:variant>
        <vt:i4>1638475</vt:i4>
      </vt:variant>
      <vt:variant>
        <vt:i4>12</vt:i4>
      </vt:variant>
      <vt:variant>
        <vt:i4>0</vt:i4>
      </vt:variant>
      <vt:variant>
        <vt:i4>5</vt:i4>
      </vt:variant>
      <vt:variant>
        <vt:lpwstr>http://www.margenes.com/estadistica/</vt:lpwstr>
      </vt:variant>
      <vt:variant>
        <vt:lpwstr/>
      </vt:variant>
      <vt:variant>
        <vt:i4>7143511</vt:i4>
      </vt:variant>
      <vt:variant>
        <vt:i4>9</vt:i4>
      </vt:variant>
      <vt:variant>
        <vt:i4>0</vt:i4>
      </vt:variant>
      <vt:variant>
        <vt:i4>5</vt:i4>
      </vt:variant>
      <vt:variant>
        <vt:lpwstr>http://www.indec.mecon.ar/principal.asp?id_tema=10</vt:lpwstr>
      </vt:variant>
      <vt:variant>
        <vt:lpwstr/>
      </vt:variant>
      <vt:variant>
        <vt:i4>5242947</vt:i4>
      </vt:variant>
      <vt:variant>
        <vt:i4>6</vt:i4>
      </vt:variant>
      <vt:variant>
        <vt:i4>0</vt:i4>
      </vt:variant>
      <vt:variant>
        <vt:i4>5</vt:i4>
      </vt:variant>
      <vt:variant>
        <vt:lpwstr>http://www.imf.org/external/country/USA/index.htm</vt:lpwstr>
      </vt:variant>
      <vt:variant>
        <vt:lpwstr/>
      </vt:variant>
      <vt:variant>
        <vt:i4>655387</vt:i4>
      </vt:variant>
      <vt:variant>
        <vt:i4>3</vt:i4>
      </vt:variant>
      <vt:variant>
        <vt:i4>0</vt:i4>
      </vt:variant>
      <vt:variant>
        <vt:i4>5</vt:i4>
      </vt:variant>
      <vt:variant>
        <vt:lpwstr>http://www.agromercado.com.ar/?economico</vt:lpwstr>
      </vt:variant>
      <vt:variant>
        <vt:lpwstr/>
      </vt:variant>
      <vt:variant>
        <vt:i4>5439597</vt:i4>
      </vt:variant>
      <vt:variant>
        <vt:i4>0</vt:i4>
      </vt:variant>
      <vt:variant>
        <vt:i4>0</vt:i4>
      </vt:variant>
      <vt:variant>
        <vt:i4>5</vt:i4>
      </vt:variant>
      <vt:variant>
        <vt:lpwstr>mailto:acorrendo@ipni.net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DE APRESENTAÇÃO DE TRABALHOS:</dc:title>
  <dc:creator>firststep</dc:creator>
  <cp:lastModifiedBy>Ines</cp:lastModifiedBy>
  <cp:revision>2</cp:revision>
  <cp:lastPrinted>2014-01-10T13:52:00Z</cp:lastPrinted>
  <dcterms:created xsi:type="dcterms:W3CDTF">2016-11-10T21:11:00Z</dcterms:created>
  <dcterms:modified xsi:type="dcterms:W3CDTF">2016-11-10T21:11:00Z</dcterms:modified>
</cp:coreProperties>
</file>