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13750" w14:textId="36BB5967" w:rsidR="00E1210D" w:rsidRDefault="00E1210D" w:rsidP="00E1210D">
      <w:pPr>
        <w:spacing w:after="180"/>
        <w:jc w:val="both"/>
        <w:rPr>
          <w:rFonts w:eastAsia="Times New Roman" w:cs="Times New Roman"/>
          <w:color w:val="000000"/>
          <w:kern w:val="0"/>
          <w14:ligatures w14:val="none"/>
        </w:rPr>
      </w:pPr>
      <w:r>
        <w:rPr>
          <w:rFonts w:eastAsia="Times New Roman" w:cs="Times New Roman"/>
          <w:color w:val="000000"/>
          <w:kern w:val="0"/>
          <w14:ligatures w14:val="none"/>
        </w:rPr>
        <w:t xml:space="preserve">Concurso </w:t>
      </w:r>
      <w:proofErr w:type="spellStart"/>
      <w:r>
        <w:rPr>
          <w:rFonts w:eastAsia="Times New Roman" w:cs="Times New Roman"/>
          <w:color w:val="000000"/>
          <w:kern w:val="0"/>
          <w14:ligatures w14:val="none"/>
        </w:rPr>
        <w:t>Nestor</w:t>
      </w:r>
      <w:proofErr w:type="spellEnd"/>
      <w:r>
        <w:rPr>
          <w:rFonts w:eastAsia="Times New Roman" w:cs="Times New Roman"/>
          <w:color w:val="000000"/>
          <w:kern w:val="0"/>
          <w14:ligatures w14:val="none"/>
        </w:rPr>
        <w:t xml:space="preserve"> </w:t>
      </w:r>
      <w:proofErr w:type="spellStart"/>
      <w:r>
        <w:rPr>
          <w:rFonts w:eastAsia="Times New Roman" w:cs="Times New Roman"/>
          <w:color w:val="000000"/>
          <w:kern w:val="0"/>
          <w14:ligatures w14:val="none"/>
        </w:rPr>
        <w:t>Darwich</w:t>
      </w:r>
      <w:proofErr w:type="spellEnd"/>
    </w:p>
    <w:p w14:paraId="2C8282D9" w14:textId="1EA19D6E" w:rsidR="00E1210D" w:rsidRDefault="00E1210D" w:rsidP="00E1210D">
      <w:pPr>
        <w:spacing w:after="180"/>
        <w:jc w:val="both"/>
        <w:rPr>
          <w:lang w:val="es-AR"/>
        </w:rPr>
      </w:pPr>
      <w:r w:rsidRPr="00147B37">
        <w:rPr>
          <w:rFonts w:eastAsia="Times New Roman" w:cs="Times New Roman"/>
          <w:color w:val="000000"/>
          <w:kern w:val="0"/>
          <w14:ligatures w14:val="none"/>
        </w:rPr>
        <w:t>El concurso</w:t>
      </w:r>
      <w:r>
        <w:rPr>
          <w:rFonts w:eastAsia="Times New Roman" w:cs="Times New Roman"/>
          <w:color w:val="000000"/>
          <w:kern w:val="0"/>
          <w14:ligatures w14:val="none"/>
        </w:rPr>
        <w:t>, que</w:t>
      </w:r>
      <w:r w:rsidRPr="00147B37">
        <w:rPr>
          <w:rFonts w:eastAsia="Times New Roman" w:cs="Times New Roman"/>
          <w:color w:val="000000"/>
          <w:kern w:val="0"/>
          <w14:ligatures w14:val="none"/>
        </w:rPr>
        <w:t xml:space="preserve"> busca reconocer y premiar la excelencia en trabajos científicos en formato póster por parte de investigadores jóvenes en el campo de la fertilidad de suelos y nutrición de cultivos en el marco del Simposio F</w:t>
      </w:r>
      <w:r>
        <w:rPr>
          <w:rFonts w:eastAsia="Times New Roman" w:cs="Times New Roman"/>
          <w:color w:val="000000"/>
          <w:kern w:val="0"/>
          <w14:ligatures w14:val="none"/>
        </w:rPr>
        <w:t>ERTILIDAD</w:t>
      </w:r>
      <w:r w:rsidRPr="00147B37">
        <w:rPr>
          <w:rFonts w:eastAsia="Times New Roman" w:cs="Times New Roman"/>
          <w:color w:val="000000"/>
          <w:kern w:val="0"/>
          <w14:ligatures w14:val="none"/>
        </w:rPr>
        <w:t xml:space="preserve"> 2025</w:t>
      </w:r>
      <w:r>
        <w:rPr>
          <w:rFonts w:eastAsia="Times New Roman" w:cs="Times New Roman"/>
          <w:color w:val="000000"/>
          <w:kern w:val="0"/>
          <w14:ligatures w14:val="none"/>
        </w:rPr>
        <w:t xml:space="preserve">, </w:t>
      </w:r>
      <w:r>
        <w:rPr>
          <w:lang w:val="es-AR"/>
        </w:rPr>
        <w:t xml:space="preserve">contó con un jurado de notables en el ámbito académico y corporativo como lo son el Dr. Flavio Gutiérrez </w:t>
      </w:r>
      <w:proofErr w:type="spellStart"/>
      <w:r>
        <w:rPr>
          <w:lang w:val="es-AR"/>
        </w:rPr>
        <w:t>Boem</w:t>
      </w:r>
      <w:proofErr w:type="spellEnd"/>
      <w:r>
        <w:rPr>
          <w:lang w:val="es-AR"/>
        </w:rPr>
        <w:t xml:space="preserve"> </w:t>
      </w:r>
      <w:r w:rsidRPr="00B61DBF">
        <w:rPr>
          <w:lang w:val="es-AR"/>
        </w:rPr>
        <w:t>(FAUBA y CONICET),</w:t>
      </w:r>
      <w:r>
        <w:rPr>
          <w:lang w:val="es-AR"/>
        </w:rPr>
        <w:t xml:space="preserve"> Ing. Agr. Andrés Grasso (Representante de la firma RECUPERAR S. A.) e Ing. Agr. Valentín </w:t>
      </w:r>
      <w:proofErr w:type="spellStart"/>
      <w:r>
        <w:rPr>
          <w:lang w:val="es-AR"/>
        </w:rPr>
        <w:t>Bastini</w:t>
      </w:r>
      <w:proofErr w:type="spellEnd"/>
      <w:r>
        <w:rPr>
          <w:lang w:val="es-AR"/>
        </w:rPr>
        <w:t xml:space="preserve"> (Representante de la firma RIZOBACTER). Todos ellos reconocidos especialistas en estas relevantes temáticas. </w:t>
      </w:r>
    </w:p>
    <w:p w14:paraId="4863257A" w14:textId="77777777" w:rsidR="00E1210D" w:rsidRDefault="00E1210D" w:rsidP="00E1210D">
      <w:pPr>
        <w:spacing w:after="180"/>
        <w:rPr>
          <w:rFonts w:eastAsia="Times New Roman" w:cs="Times New Roman"/>
          <w:color w:val="000000"/>
          <w:kern w:val="0"/>
          <w14:ligatures w14:val="none"/>
        </w:rPr>
      </w:pPr>
    </w:p>
    <w:p w14:paraId="409E5306" w14:textId="00729FA5" w:rsidR="00E1210D" w:rsidRPr="00147B37" w:rsidRDefault="00E1210D" w:rsidP="00E1210D">
      <w:pPr>
        <w:spacing w:after="180"/>
        <w:rPr>
          <w:rFonts w:eastAsia="Times New Roman" w:cs="Times New Roman"/>
          <w:color w:val="000000"/>
          <w:kern w:val="0"/>
          <w14:ligatures w14:val="none"/>
        </w:rPr>
      </w:pPr>
      <w:r w:rsidRPr="00147B37">
        <w:rPr>
          <w:rFonts w:eastAsia="Times New Roman" w:cs="Times New Roman"/>
          <w:color w:val="000000"/>
          <w:kern w:val="0"/>
          <w14:ligatures w14:val="none"/>
        </w:rPr>
        <w:t>El jurado calificará los pósteres según los siguientes criterios:</w:t>
      </w:r>
    </w:p>
    <w:p w14:paraId="14E3EEBD" w14:textId="77777777" w:rsidR="00E1210D" w:rsidRPr="00147B37" w:rsidRDefault="00E1210D" w:rsidP="00E1210D">
      <w:pPr>
        <w:widowControl/>
        <w:numPr>
          <w:ilvl w:val="0"/>
          <w:numId w:val="1"/>
        </w:numPr>
        <w:autoSpaceDE/>
        <w:autoSpaceDN/>
        <w:spacing w:after="180"/>
        <w:rPr>
          <w:rFonts w:eastAsia="Times New Roman" w:cs="Times New Roman"/>
          <w:color w:val="000000"/>
          <w:kern w:val="0"/>
          <w14:ligatures w14:val="none"/>
        </w:rPr>
      </w:pPr>
      <w:r w:rsidRPr="00147B37">
        <w:rPr>
          <w:rFonts w:eastAsia="Times New Roman" w:cs="Times New Roman"/>
          <w:color w:val="000000"/>
          <w:kern w:val="0"/>
          <w14:ligatures w14:val="none"/>
        </w:rPr>
        <w:t>Relevancia científica y originalidad (30%)</w:t>
      </w:r>
    </w:p>
    <w:p w14:paraId="074A8F2C" w14:textId="77777777" w:rsidR="00E1210D" w:rsidRPr="00147B37" w:rsidRDefault="00E1210D" w:rsidP="00E1210D">
      <w:pPr>
        <w:widowControl/>
        <w:numPr>
          <w:ilvl w:val="0"/>
          <w:numId w:val="1"/>
        </w:numPr>
        <w:autoSpaceDE/>
        <w:autoSpaceDN/>
        <w:spacing w:after="180"/>
        <w:rPr>
          <w:rFonts w:eastAsia="Times New Roman" w:cs="Times New Roman"/>
          <w:color w:val="000000"/>
          <w:kern w:val="0"/>
          <w14:ligatures w14:val="none"/>
        </w:rPr>
      </w:pPr>
      <w:r w:rsidRPr="00147B37">
        <w:rPr>
          <w:rFonts w:eastAsia="Times New Roman" w:cs="Times New Roman"/>
          <w:color w:val="000000"/>
          <w:kern w:val="0"/>
          <w14:ligatures w14:val="none"/>
        </w:rPr>
        <w:t>Metodología y rigor científico (25%)</w:t>
      </w:r>
    </w:p>
    <w:p w14:paraId="52633B8A" w14:textId="77777777" w:rsidR="00E1210D" w:rsidRPr="00147B37" w:rsidRDefault="00E1210D" w:rsidP="00E1210D">
      <w:pPr>
        <w:widowControl/>
        <w:numPr>
          <w:ilvl w:val="0"/>
          <w:numId w:val="1"/>
        </w:numPr>
        <w:autoSpaceDE/>
        <w:autoSpaceDN/>
        <w:spacing w:after="180"/>
        <w:rPr>
          <w:rFonts w:eastAsia="Times New Roman" w:cs="Times New Roman"/>
          <w:color w:val="000000"/>
          <w:kern w:val="0"/>
          <w14:ligatures w14:val="none"/>
        </w:rPr>
      </w:pPr>
      <w:r w:rsidRPr="00147B37">
        <w:rPr>
          <w:rFonts w:eastAsia="Times New Roman" w:cs="Times New Roman"/>
          <w:color w:val="000000"/>
          <w:kern w:val="0"/>
          <w14:ligatures w14:val="none"/>
        </w:rPr>
        <w:t>Claridad en la presentación y diseño gráfico (</w:t>
      </w:r>
      <w:r>
        <w:rPr>
          <w:rFonts w:eastAsia="Times New Roman" w:cs="Times New Roman"/>
          <w:color w:val="000000"/>
          <w:kern w:val="0"/>
          <w14:ligatures w14:val="none"/>
        </w:rPr>
        <w:t>15</w:t>
      </w:r>
      <w:r w:rsidRPr="00147B37">
        <w:rPr>
          <w:rFonts w:eastAsia="Times New Roman" w:cs="Times New Roman"/>
          <w:color w:val="000000"/>
          <w:kern w:val="0"/>
          <w14:ligatures w14:val="none"/>
        </w:rPr>
        <w:t>%)</w:t>
      </w:r>
    </w:p>
    <w:p w14:paraId="43EFEB95" w14:textId="77777777" w:rsidR="00E1210D" w:rsidRPr="00147B37" w:rsidRDefault="00E1210D" w:rsidP="00E1210D">
      <w:pPr>
        <w:widowControl/>
        <w:numPr>
          <w:ilvl w:val="0"/>
          <w:numId w:val="1"/>
        </w:numPr>
        <w:autoSpaceDE/>
        <w:autoSpaceDN/>
        <w:spacing w:after="180"/>
        <w:rPr>
          <w:rFonts w:eastAsia="Times New Roman" w:cs="Times New Roman"/>
          <w:color w:val="000000"/>
          <w:kern w:val="0"/>
          <w14:ligatures w14:val="none"/>
        </w:rPr>
      </w:pPr>
      <w:r w:rsidRPr="00147B37">
        <w:rPr>
          <w:rFonts w:eastAsia="Times New Roman" w:cs="Times New Roman"/>
          <w:color w:val="000000"/>
          <w:kern w:val="0"/>
          <w14:ligatures w14:val="none"/>
        </w:rPr>
        <w:t>Impacto de los resultados (</w:t>
      </w:r>
      <w:r>
        <w:rPr>
          <w:rFonts w:eastAsia="Times New Roman" w:cs="Times New Roman"/>
          <w:color w:val="000000"/>
          <w:kern w:val="0"/>
          <w14:ligatures w14:val="none"/>
        </w:rPr>
        <w:t>20</w:t>
      </w:r>
      <w:r w:rsidRPr="00147B37">
        <w:rPr>
          <w:rFonts w:eastAsia="Times New Roman" w:cs="Times New Roman"/>
          <w:color w:val="000000"/>
          <w:kern w:val="0"/>
          <w14:ligatures w14:val="none"/>
        </w:rPr>
        <w:t>%)</w:t>
      </w:r>
    </w:p>
    <w:p w14:paraId="58E4316E" w14:textId="30E9E476" w:rsidR="00E1210D" w:rsidRDefault="00E1210D" w:rsidP="00E1210D">
      <w:pPr>
        <w:widowControl/>
        <w:numPr>
          <w:ilvl w:val="0"/>
          <w:numId w:val="1"/>
        </w:numPr>
        <w:autoSpaceDE/>
        <w:autoSpaceDN/>
        <w:spacing w:after="180"/>
        <w:rPr>
          <w:rFonts w:eastAsia="Times New Roman" w:cs="Times New Roman"/>
          <w:color w:val="000000"/>
          <w:kern w:val="0"/>
          <w14:ligatures w14:val="none"/>
        </w:rPr>
      </w:pPr>
      <w:r w:rsidRPr="00147B37">
        <w:rPr>
          <w:rFonts w:eastAsia="Times New Roman" w:cs="Times New Roman"/>
          <w:color w:val="000000"/>
          <w:kern w:val="0"/>
          <w14:ligatures w14:val="none"/>
        </w:rPr>
        <w:t>Capacidad de comunicación del investigador joven (10%)</w:t>
      </w:r>
    </w:p>
    <w:p w14:paraId="2CB550F5" w14:textId="77777777" w:rsidR="00E1210D" w:rsidRDefault="00E1210D" w:rsidP="00E1210D">
      <w:pPr>
        <w:widowControl/>
        <w:autoSpaceDE/>
        <w:autoSpaceDN/>
        <w:spacing w:after="180"/>
        <w:ind w:left="720"/>
        <w:rPr>
          <w:rFonts w:eastAsia="Times New Roman" w:cs="Times New Roman"/>
          <w:color w:val="000000"/>
          <w:kern w:val="0"/>
          <w14:ligatures w14:val="none"/>
        </w:rPr>
      </w:pPr>
    </w:p>
    <w:p w14:paraId="74B63C6A" w14:textId="77777777" w:rsidR="00991DA1" w:rsidRPr="00E1210D" w:rsidRDefault="00991DA1" w:rsidP="00991DA1">
      <w:pPr>
        <w:jc w:val="both"/>
      </w:pPr>
      <w:r>
        <w:t>El tercer póster distinguido es el presentado por Paula Iglesias “</w:t>
      </w:r>
      <w:r w:rsidRPr="006040FC">
        <w:t>GESTIÓN DEL NITRÓGENO EN MAÍZ: BALANCE ENTRE PRODUCTIVIDAD Y SOSTENIBILIDAD</w:t>
      </w:r>
      <w:r>
        <w:t xml:space="preserve">”. El trabajo presenta datos que salen de </w:t>
      </w:r>
      <w:r w:rsidRPr="00687CB2">
        <w:t xml:space="preserve">un experimento bajo condiciones de riego y secano durante dos campañas </w:t>
      </w:r>
      <w:r>
        <w:t>con tratamientos de aplicación de 200 kg N/</w:t>
      </w:r>
      <w:proofErr w:type="spellStart"/>
      <w:r>
        <w:t>ha</w:t>
      </w:r>
      <w:proofErr w:type="spellEnd"/>
      <w:r>
        <w:t xml:space="preserve"> en dos momentos y con diferentes fuentes. Los interesantes resultados muestran </w:t>
      </w:r>
      <w:r w:rsidRPr="00132882">
        <w:t>que una correcta gestión del nitrógeno basada en el empleo de tecnologías de procesos (fraccionamiento) y de insumos (fuentes) permite reducir principalmente las pérdidas por volatilización y, por ende, contribuir a una menor huella de C y a un manejo más eficiente de N, sin afectar la productividad del maíz.</w:t>
      </w:r>
    </w:p>
    <w:p w14:paraId="2CA989BF" w14:textId="77777777" w:rsidR="00991DA1" w:rsidRDefault="00991DA1" w:rsidP="00991DA1"/>
    <w:p w14:paraId="7F162652" w14:textId="77777777" w:rsidR="00991DA1" w:rsidRDefault="00991DA1" w:rsidP="00991DA1">
      <w:pPr>
        <w:jc w:val="both"/>
      </w:pPr>
      <w:r>
        <w:tab/>
        <w:t xml:space="preserve">El 2do poster distinguido es el presentado por Juan </w:t>
      </w:r>
      <w:proofErr w:type="spellStart"/>
      <w:r>
        <w:t>Rompani</w:t>
      </w:r>
      <w:proofErr w:type="spellEnd"/>
      <w:r>
        <w:t xml:space="preserve"> “</w:t>
      </w:r>
      <w:r w:rsidRPr="006A2808">
        <w:t>MODELOS PARA APOYAR EL MANEJO SITIO-ESPECÍFICO DE LA FERTILIZACIÓN NITROGENADA EN TRIGO EN EL CENTRO OESTE BONAERENSE</w:t>
      </w:r>
      <w:r>
        <w:t xml:space="preserve">”. En este trabajo de investigación de siete años, sobre 63 ensayos de fertilización nitrogenada en el centro oeste bonaerense, en el cual se relevaron un total de 21 variables, se cuantificó simultáneamente la magnitud de la variabilidad </w:t>
      </w:r>
      <w:proofErr w:type="gramStart"/>
      <w:r>
        <w:t>espacio-temporal</w:t>
      </w:r>
      <w:proofErr w:type="gramEnd"/>
      <w:r>
        <w:t xml:space="preserve"> de la DOE, información hasta el momento inexistente en la región y se desarrollaron modelos para guiar en la toma de decisión de la fertilización nitrogenada, que consideran tanto la variabilidad edáfica y topográfica como la meteorológica. </w:t>
      </w:r>
    </w:p>
    <w:p w14:paraId="5B75A201" w14:textId="77777777" w:rsidR="00991DA1" w:rsidRDefault="00991DA1" w:rsidP="00991DA1">
      <w:pPr>
        <w:jc w:val="both"/>
      </w:pPr>
    </w:p>
    <w:p w14:paraId="796E2484" w14:textId="44DA39F7" w:rsidR="00E1210D" w:rsidRPr="00E1210D" w:rsidRDefault="00E1210D" w:rsidP="00EC202B">
      <w:pPr>
        <w:widowControl/>
        <w:autoSpaceDE/>
        <w:autoSpaceDN/>
        <w:spacing w:after="180"/>
        <w:jc w:val="both"/>
        <w:rPr>
          <w:rFonts w:eastAsia="Times New Roman" w:cs="Times New Roman"/>
          <w:color w:val="000000"/>
          <w:kern w:val="0"/>
          <w14:ligatures w14:val="none"/>
        </w:rPr>
      </w:pPr>
      <w:r>
        <w:rPr>
          <w:rFonts w:eastAsia="Times New Roman" w:cs="Times New Roman"/>
          <w:color w:val="000000"/>
          <w:kern w:val="0"/>
          <w14:ligatures w14:val="none"/>
        </w:rPr>
        <w:t xml:space="preserve">El ganador del 1er premio es para Oscar </w:t>
      </w:r>
      <w:proofErr w:type="spellStart"/>
      <w:r>
        <w:rPr>
          <w:rFonts w:eastAsia="Times New Roman" w:cs="Times New Roman"/>
          <w:color w:val="000000"/>
          <w:kern w:val="0"/>
          <w14:ligatures w14:val="none"/>
        </w:rPr>
        <w:t>Avila</w:t>
      </w:r>
      <w:proofErr w:type="spellEnd"/>
      <w:r>
        <w:rPr>
          <w:rFonts w:eastAsia="Times New Roman" w:cs="Times New Roman"/>
          <w:color w:val="000000"/>
          <w:kern w:val="0"/>
          <w14:ligatures w14:val="none"/>
        </w:rPr>
        <w:t>, con el poster “</w:t>
      </w:r>
      <w:r w:rsidRPr="00E1210D">
        <w:rPr>
          <w:rFonts w:eastAsia="Times New Roman" w:cs="Times New Roman"/>
          <w:color w:val="000000"/>
          <w:kern w:val="0"/>
          <w14:ligatures w14:val="none"/>
        </w:rPr>
        <w:t>CALIBRACIÓN DE MÉTODOS DE DIAGNÓSTICO DE POTASIO BASADOS EN EL ANÁLISIS DE SUELO</w:t>
      </w:r>
      <w:r>
        <w:rPr>
          <w:rFonts w:eastAsia="Times New Roman" w:cs="Times New Roman"/>
          <w:color w:val="000000"/>
          <w:kern w:val="0"/>
          <w14:ligatures w14:val="none"/>
        </w:rPr>
        <w:t>”.</w:t>
      </w:r>
      <w:r w:rsidR="00B56C5E">
        <w:rPr>
          <w:rFonts w:eastAsia="Times New Roman" w:cs="Times New Roman"/>
          <w:color w:val="000000"/>
          <w:kern w:val="0"/>
          <w14:ligatures w14:val="none"/>
        </w:rPr>
        <w:t xml:space="preserve"> </w:t>
      </w:r>
      <w:r w:rsidR="00DC4551">
        <w:rPr>
          <w:rFonts w:eastAsia="Times New Roman" w:cs="Times New Roman"/>
          <w:color w:val="000000"/>
          <w:kern w:val="0"/>
          <w14:ligatures w14:val="none"/>
        </w:rPr>
        <w:t xml:space="preserve">El trabajo se basó </w:t>
      </w:r>
      <w:r w:rsidR="00104928">
        <w:rPr>
          <w:rFonts w:eastAsia="Times New Roman" w:cs="Times New Roman"/>
          <w:color w:val="000000"/>
          <w:kern w:val="0"/>
          <w14:ligatures w14:val="none"/>
        </w:rPr>
        <w:t>en los resultados de</w:t>
      </w:r>
      <w:r w:rsidR="00DC4551" w:rsidRPr="00DC4551">
        <w:rPr>
          <w:rFonts w:eastAsia="Times New Roman" w:cs="Times New Roman"/>
          <w:color w:val="000000"/>
          <w:kern w:val="0"/>
          <w14:ligatures w14:val="none"/>
        </w:rPr>
        <w:t xml:space="preserve"> 39 experimentos en maíz y 19 experimentos en soja en diferentes campos comerciales y experimentales de la región Chaco-Pampeana de Argentina</w:t>
      </w:r>
      <w:r w:rsidR="00104928">
        <w:rPr>
          <w:rFonts w:eastAsia="Times New Roman" w:cs="Times New Roman"/>
          <w:color w:val="000000"/>
          <w:kern w:val="0"/>
          <w14:ligatures w14:val="none"/>
        </w:rPr>
        <w:t xml:space="preserve"> durante </w:t>
      </w:r>
      <w:r w:rsidR="00104928" w:rsidRPr="00DC4551">
        <w:rPr>
          <w:rFonts w:eastAsia="Times New Roman" w:cs="Times New Roman"/>
          <w:color w:val="000000"/>
          <w:kern w:val="0"/>
          <w14:ligatures w14:val="none"/>
        </w:rPr>
        <w:t>cinco campañas agrícolas</w:t>
      </w:r>
      <w:r w:rsidR="00104928">
        <w:rPr>
          <w:rFonts w:eastAsia="Times New Roman" w:cs="Times New Roman"/>
          <w:color w:val="000000"/>
          <w:kern w:val="0"/>
          <w14:ligatures w14:val="none"/>
        </w:rPr>
        <w:t>.</w:t>
      </w:r>
      <w:r w:rsidR="007E42B5">
        <w:rPr>
          <w:rFonts w:eastAsia="Times New Roman" w:cs="Times New Roman"/>
          <w:color w:val="000000"/>
          <w:kern w:val="0"/>
          <w14:ligatures w14:val="none"/>
        </w:rPr>
        <w:t xml:space="preserve"> </w:t>
      </w:r>
      <w:r w:rsidR="00B56C5E" w:rsidRPr="00B56C5E">
        <w:rPr>
          <w:rFonts w:eastAsia="Times New Roman" w:cs="Times New Roman"/>
          <w:color w:val="000000"/>
          <w:kern w:val="0"/>
          <w14:ligatures w14:val="none"/>
        </w:rPr>
        <w:t xml:space="preserve">Los resultados de este estudio </w:t>
      </w:r>
      <w:r w:rsidR="00B56C5E">
        <w:rPr>
          <w:rFonts w:eastAsia="Times New Roman" w:cs="Times New Roman"/>
          <w:color w:val="000000"/>
          <w:kern w:val="0"/>
          <w14:ligatures w14:val="none"/>
        </w:rPr>
        <w:t>demostraron</w:t>
      </w:r>
      <w:r w:rsidR="00B56C5E" w:rsidRPr="00B56C5E">
        <w:rPr>
          <w:rFonts w:eastAsia="Times New Roman" w:cs="Times New Roman"/>
          <w:color w:val="000000"/>
          <w:kern w:val="0"/>
          <w14:ligatures w14:val="none"/>
        </w:rPr>
        <w:t xml:space="preserve"> que tanto la determinación de Ki como </w:t>
      </w:r>
      <w:proofErr w:type="spellStart"/>
      <w:r w:rsidR="00B56C5E" w:rsidRPr="00B56C5E">
        <w:rPr>
          <w:rFonts w:eastAsia="Times New Roman" w:cs="Times New Roman"/>
          <w:color w:val="000000"/>
          <w:kern w:val="0"/>
          <w14:ligatures w14:val="none"/>
        </w:rPr>
        <w:t>Kni</w:t>
      </w:r>
      <w:proofErr w:type="spellEnd"/>
      <w:r w:rsidR="00B56C5E" w:rsidRPr="00B56C5E">
        <w:rPr>
          <w:rFonts w:eastAsia="Times New Roman" w:cs="Times New Roman"/>
          <w:color w:val="000000"/>
          <w:kern w:val="0"/>
          <w14:ligatures w14:val="none"/>
        </w:rPr>
        <w:t xml:space="preserve"> permiten calibrar la respuesta en rendimiento para maíz y soja en suelos de la región Chaco-Pampeana. Aunque </w:t>
      </w:r>
      <w:r w:rsidR="00D86625">
        <w:rPr>
          <w:rFonts w:eastAsia="Times New Roman" w:cs="Times New Roman"/>
          <w:color w:val="000000"/>
          <w:kern w:val="0"/>
          <w14:ligatures w14:val="none"/>
        </w:rPr>
        <w:t xml:space="preserve">el </w:t>
      </w:r>
      <w:r w:rsidR="00B56C5E" w:rsidRPr="00B56C5E">
        <w:rPr>
          <w:rFonts w:eastAsia="Times New Roman" w:cs="Times New Roman"/>
          <w:color w:val="000000"/>
          <w:kern w:val="0"/>
          <w14:ligatures w14:val="none"/>
        </w:rPr>
        <w:t xml:space="preserve">Ki presentó un umbral crítico de 0,57 </w:t>
      </w:r>
      <w:proofErr w:type="spellStart"/>
      <w:proofErr w:type="gramStart"/>
      <w:r w:rsidR="00B56C5E" w:rsidRPr="00B56C5E">
        <w:rPr>
          <w:rFonts w:eastAsia="Times New Roman" w:cs="Times New Roman"/>
          <w:color w:val="000000"/>
          <w:kern w:val="0"/>
          <w14:ligatures w14:val="none"/>
        </w:rPr>
        <w:t>cmol</w:t>
      </w:r>
      <w:proofErr w:type="spellEnd"/>
      <w:r w:rsidR="00B56C5E" w:rsidRPr="00B56C5E">
        <w:rPr>
          <w:rFonts w:eastAsia="Times New Roman" w:cs="Times New Roman"/>
          <w:color w:val="000000"/>
          <w:kern w:val="0"/>
          <w14:ligatures w14:val="none"/>
        </w:rPr>
        <w:t>(</w:t>
      </w:r>
      <w:proofErr w:type="gramEnd"/>
      <w:r w:rsidR="00B56C5E" w:rsidRPr="00B56C5E">
        <w:rPr>
          <w:rFonts w:eastAsia="Times New Roman" w:cs="Times New Roman"/>
          <w:color w:val="000000"/>
          <w:kern w:val="0"/>
          <w14:ligatures w14:val="none"/>
        </w:rPr>
        <w:t xml:space="preserve">+) kg-1 (223 mg kg-1), </w:t>
      </w:r>
      <w:r w:rsidR="00BE5BEE">
        <w:rPr>
          <w:rFonts w:eastAsia="Times New Roman" w:cs="Times New Roman"/>
          <w:color w:val="000000"/>
          <w:kern w:val="0"/>
          <w14:ligatures w14:val="none"/>
        </w:rPr>
        <w:t xml:space="preserve">el </w:t>
      </w:r>
      <w:proofErr w:type="spellStart"/>
      <w:r w:rsidR="00B56C5E" w:rsidRPr="00B56C5E">
        <w:rPr>
          <w:rFonts w:eastAsia="Times New Roman" w:cs="Times New Roman"/>
          <w:color w:val="000000"/>
          <w:kern w:val="0"/>
          <w14:ligatures w14:val="none"/>
        </w:rPr>
        <w:t>Kni</w:t>
      </w:r>
      <w:proofErr w:type="spellEnd"/>
      <w:r w:rsidR="00B56C5E" w:rsidRPr="00B56C5E">
        <w:rPr>
          <w:rFonts w:eastAsia="Times New Roman" w:cs="Times New Roman"/>
          <w:color w:val="000000"/>
          <w:kern w:val="0"/>
          <w14:ligatures w14:val="none"/>
        </w:rPr>
        <w:t xml:space="preserve"> se destacó como una alternativa superior para predecir la respuesta a la fertilización con K, con un umbral crítico de 1,09 </w:t>
      </w:r>
      <w:proofErr w:type="spellStart"/>
      <w:proofErr w:type="gramStart"/>
      <w:r w:rsidR="00B56C5E" w:rsidRPr="00B56C5E">
        <w:rPr>
          <w:rFonts w:eastAsia="Times New Roman" w:cs="Times New Roman"/>
          <w:color w:val="000000"/>
          <w:kern w:val="0"/>
          <w14:ligatures w14:val="none"/>
        </w:rPr>
        <w:t>cmol</w:t>
      </w:r>
      <w:proofErr w:type="spellEnd"/>
      <w:r w:rsidR="00B56C5E" w:rsidRPr="00B56C5E">
        <w:rPr>
          <w:rFonts w:eastAsia="Times New Roman" w:cs="Times New Roman"/>
          <w:color w:val="000000"/>
          <w:kern w:val="0"/>
          <w14:ligatures w14:val="none"/>
        </w:rPr>
        <w:t>(</w:t>
      </w:r>
      <w:proofErr w:type="gramEnd"/>
      <w:r w:rsidR="00B56C5E" w:rsidRPr="00B56C5E">
        <w:rPr>
          <w:rFonts w:eastAsia="Times New Roman" w:cs="Times New Roman"/>
          <w:color w:val="000000"/>
          <w:kern w:val="0"/>
          <w14:ligatures w14:val="none"/>
        </w:rPr>
        <w:t>+) kg-1 (426 mg kg-1).</w:t>
      </w:r>
    </w:p>
    <w:p w14:paraId="706C25AC" w14:textId="77777777" w:rsidR="00BD56D5" w:rsidRDefault="00BD56D5" w:rsidP="00AB5E37">
      <w:pPr>
        <w:jc w:val="both"/>
      </w:pPr>
    </w:p>
    <w:p w14:paraId="186637F5" w14:textId="77777777" w:rsidR="00991DA1" w:rsidRPr="00E1210D" w:rsidRDefault="00991DA1">
      <w:pPr>
        <w:jc w:val="both"/>
      </w:pPr>
    </w:p>
    <w:sectPr w:rsidR="00991DA1" w:rsidRPr="00E121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437C2"/>
    <w:multiLevelType w:val="multilevel"/>
    <w:tmpl w:val="7CD8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5590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10D"/>
    <w:rsid w:val="00104928"/>
    <w:rsid w:val="00132882"/>
    <w:rsid w:val="001F4D6A"/>
    <w:rsid w:val="00306AED"/>
    <w:rsid w:val="004C686A"/>
    <w:rsid w:val="005A0E21"/>
    <w:rsid w:val="005E18A7"/>
    <w:rsid w:val="005E24B9"/>
    <w:rsid w:val="006040FC"/>
    <w:rsid w:val="006212C7"/>
    <w:rsid w:val="00635F09"/>
    <w:rsid w:val="00674A4B"/>
    <w:rsid w:val="00687CB2"/>
    <w:rsid w:val="006A2808"/>
    <w:rsid w:val="00716E31"/>
    <w:rsid w:val="007E0511"/>
    <w:rsid w:val="007E42B5"/>
    <w:rsid w:val="00991DA1"/>
    <w:rsid w:val="00A22A6F"/>
    <w:rsid w:val="00AB5E37"/>
    <w:rsid w:val="00B41B04"/>
    <w:rsid w:val="00B56C5E"/>
    <w:rsid w:val="00BD56D5"/>
    <w:rsid w:val="00BE5BEE"/>
    <w:rsid w:val="00C44864"/>
    <w:rsid w:val="00C95063"/>
    <w:rsid w:val="00D86625"/>
    <w:rsid w:val="00DC4551"/>
    <w:rsid w:val="00E1210D"/>
    <w:rsid w:val="00E87CE0"/>
    <w:rsid w:val="00EC202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C999A"/>
  <w15:chartTrackingRefBased/>
  <w15:docId w15:val="{77C07819-6EC5-4E9F-A4A9-358B9EBEA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10D"/>
    <w:pPr>
      <w:widowControl w:val="0"/>
      <w:autoSpaceDE w:val="0"/>
      <w:autoSpaceDN w:val="0"/>
      <w:spacing w:after="0" w:line="240" w:lineRule="auto"/>
    </w:pPr>
    <w:rPr>
      <w:rFonts w:ascii="Arial MT" w:eastAsia="Arial MT" w:hAnsi="Arial MT" w:cs="Arial MT"/>
      <w:sz w:val="22"/>
      <w:szCs w:val="22"/>
      <w:lang w:val="es-ES"/>
    </w:rPr>
  </w:style>
  <w:style w:type="paragraph" w:styleId="Ttulo1">
    <w:name w:val="heading 1"/>
    <w:basedOn w:val="Normal"/>
    <w:next w:val="Normal"/>
    <w:link w:val="Ttulo1Car"/>
    <w:uiPriority w:val="9"/>
    <w:qFormat/>
    <w:rsid w:val="00E121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121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1210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1210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1210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1210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1210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1210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1210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1210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1210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1210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1210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1210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1210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1210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1210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1210D"/>
    <w:rPr>
      <w:rFonts w:eastAsiaTheme="majorEastAsia" w:cstheme="majorBidi"/>
      <w:color w:val="272727" w:themeColor="text1" w:themeTint="D8"/>
    </w:rPr>
  </w:style>
  <w:style w:type="paragraph" w:styleId="Ttulo">
    <w:name w:val="Title"/>
    <w:basedOn w:val="Normal"/>
    <w:next w:val="Normal"/>
    <w:link w:val="TtuloCar"/>
    <w:uiPriority w:val="10"/>
    <w:qFormat/>
    <w:rsid w:val="00E1210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1210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1210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1210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1210D"/>
    <w:pPr>
      <w:spacing w:before="160"/>
      <w:jc w:val="center"/>
    </w:pPr>
    <w:rPr>
      <w:i/>
      <w:iCs/>
      <w:color w:val="404040" w:themeColor="text1" w:themeTint="BF"/>
    </w:rPr>
  </w:style>
  <w:style w:type="character" w:customStyle="1" w:styleId="CitaCar">
    <w:name w:val="Cita Car"/>
    <w:basedOn w:val="Fuentedeprrafopredeter"/>
    <w:link w:val="Cita"/>
    <w:uiPriority w:val="29"/>
    <w:rsid w:val="00E1210D"/>
    <w:rPr>
      <w:i/>
      <w:iCs/>
      <w:color w:val="404040" w:themeColor="text1" w:themeTint="BF"/>
    </w:rPr>
  </w:style>
  <w:style w:type="paragraph" w:styleId="Prrafodelista">
    <w:name w:val="List Paragraph"/>
    <w:basedOn w:val="Normal"/>
    <w:uiPriority w:val="34"/>
    <w:qFormat/>
    <w:rsid w:val="00E1210D"/>
    <w:pPr>
      <w:ind w:left="720"/>
      <w:contextualSpacing/>
    </w:pPr>
  </w:style>
  <w:style w:type="character" w:styleId="nfasisintenso">
    <w:name w:val="Intense Emphasis"/>
    <w:basedOn w:val="Fuentedeprrafopredeter"/>
    <w:uiPriority w:val="21"/>
    <w:qFormat/>
    <w:rsid w:val="00E1210D"/>
    <w:rPr>
      <w:i/>
      <w:iCs/>
      <w:color w:val="0F4761" w:themeColor="accent1" w:themeShade="BF"/>
    </w:rPr>
  </w:style>
  <w:style w:type="paragraph" w:styleId="Citadestacada">
    <w:name w:val="Intense Quote"/>
    <w:basedOn w:val="Normal"/>
    <w:next w:val="Normal"/>
    <w:link w:val="CitadestacadaCar"/>
    <w:uiPriority w:val="30"/>
    <w:qFormat/>
    <w:rsid w:val="00E121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1210D"/>
    <w:rPr>
      <w:i/>
      <w:iCs/>
      <w:color w:val="0F4761" w:themeColor="accent1" w:themeShade="BF"/>
    </w:rPr>
  </w:style>
  <w:style w:type="character" w:styleId="Referenciaintensa">
    <w:name w:val="Intense Reference"/>
    <w:basedOn w:val="Fuentedeprrafopredeter"/>
    <w:uiPriority w:val="32"/>
    <w:qFormat/>
    <w:rsid w:val="00E121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467</Words>
  <Characters>2572</Characters>
  <Application>Microsoft Office Word</Application>
  <DocSecurity>0</DocSecurity>
  <Lines>21</Lines>
  <Paragraphs>6</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Ciarlo</dc:creator>
  <cp:keywords/>
  <dc:description/>
  <cp:lastModifiedBy>Esteban Ciarlo</cp:lastModifiedBy>
  <cp:revision>27</cp:revision>
  <dcterms:created xsi:type="dcterms:W3CDTF">2025-05-08T12:02:00Z</dcterms:created>
  <dcterms:modified xsi:type="dcterms:W3CDTF">2025-05-08T19:49:00Z</dcterms:modified>
</cp:coreProperties>
</file>